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ind w:left="200" w:right="160"/>
        <w:spacing w:after="0"/>
        <w:rPr>
          <w:sz w:val="20"/>
          <w:szCs w:val="20"/>
          <w:color w:val="auto"/>
        </w:rPr>
      </w:pPr>
      <w:r>
        <w:rPr>
          <w:rFonts w:ascii="Arial" w:cs="Arial" w:eastAsia="Arial" w:hAnsi="Arial"/>
          <w:sz w:val="18"/>
          <w:szCs w:val="18"/>
          <w:color w:val="D13239"/>
        </w:rPr>
        <w:t>The information in this preliminary prospectus supplement is not complete and may be changed. This preliminary prospectus supplement and accompanying prospectus are not an offer to sell these securities and we are not soliciting an offer to buy these securities in any jurisdiction where the offer or sale is not permitted.</w:t>
      </w:r>
    </w:p>
    <w:p>
      <w:pPr>
        <w:spacing w:after="0" w:line="118"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333-218508</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D13239"/>
        </w:rPr>
        <w:t>SUBJECT TO COMPLETION</w:t>
      </w:r>
    </w:p>
    <w:p>
      <w:pPr>
        <w:jc w:val="center"/>
        <w:ind w:right="-179"/>
        <w:spacing w:after="0"/>
        <w:rPr>
          <w:sz w:val="20"/>
          <w:szCs w:val="20"/>
          <w:color w:val="auto"/>
        </w:rPr>
      </w:pPr>
      <w:r>
        <w:rPr>
          <w:rFonts w:ascii="Arial" w:cs="Arial" w:eastAsia="Arial" w:hAnsi="Arial"/>
          <w:sz w:val="18"/>
          <w:szCs w:val="18"/>
          <w:color w:val="D13239"/>
        </w:rPr>
        <w:t>Preliminary Prospectus Supplement dated November 1, 2017</w:t>
      </w:r>
    </w:p>
    <w:p>
      <w:pPr>
        <w:spacing w:after="0" w:line="194"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June 16, 2017)</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29"/>
          <w:szCs w:val="29"/>
          <w:color w:val="auto"/>
        </w:rPr>
        <w:t>$150,000,000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79"/>
        <w:spacing w:after="0"/>
        <w:rPr>
          <w:sz w:val="20"/>
          <w:szCs w:val="20"/>
          <w:color w:val="auto"/>
        </w:rPr>
      </w:pPr>
      <w:r>
        <w:rPr>
          <w:rFonts w:ascii="Arial" w:cs="Arial" w:eastAsia="Arial" w:hAnsi="Arial"/>
          <w:sz w:val="29"/>
          <w:szCs w:val="29"/>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305435</wp:posOffset>
            </wp:positionV>
            <wp:extent cx="1054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We are offering $150,000,000 of shares of our common stock.</w:t>
      </w:r>
    </w:p>
    <w:p>
      <w:pPr>
        <w:ind w:left="200" w:right="120" w:firstLine="441"/>
        <w:spacing w:after="0" w:line="246" w:lineRule="auto"/>
        <w:rPr>
          <w:sz w:val="20"/>
          <w:szCs w:val="20"/>
          <w:color w:val="auto"/>
        </w:rPr>
      </w:pPr>
      <w:r>
        <w:rPr>
          <w:rFonts w:ascii="Arial" w:cs="Arial" w:eastAsia="Arial" w:hAnsi="Arial"/>
          <w:sz w:val="18"/>
          <w:szCs w:val="18"/>
          <w:color w:val="auto"/>
        </w:rPr>
        <w:t>Our common stock is listed on The Nasdaq Global Market under the symbol “NTLA”. The last sale price as reported on The Nasdaq Global Market on October 31, 2017 was $31.12 per share.</w:t>
      </w:r>
    </w:p>
    <w:p>
      <w:pPr>
        <w:spacing w:after="0" w:line="197" w:lineRule="exact"/>
        <w:rPr>
          <w:sz w:val="24"/>
          <w:szCs w:val="24"/>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We have granted the underwriters a 30-day option to purchase up to an additional $22,500,000 of shares of our common stock from us at the public offering price, less the underwriting discounts and commissions.</w:t>
      </w:r>
    </w:p>
    <w:p>
      <w:pPr>
        <w:spacing w:after="0" w:line="197" w:lineRule="exact"/>
        <w:rPr>
          <w:sz w:val="24"/>
          <w:szCs w:val="24"/>
          <w:color w:val="auto"/>
        </w:rPr>
      </w:pPr>
    </w:p>
    <w:p>
      <w:pPr>
        <w:ind w:left="200" w:right="200" w:firstLine="441"/>
        <w:spacing w:after="0"/>
        <w:rPr>
          <w:sz w:val="20"/>
          <w:szCs w:val="20"/>
          <w:color w:val="auto"/>
        </w:rPr>
      </w:pPr>
      <w:r>
        <w:rPr>
          <w:rFonts w:ascii="Arial" w:cs="Arial" w:eastAsia="Arial" w:hAnsi="Arial"/>
          <w:sz w:val="18"/>
          <w:szCs w:val="18"/>
          <w:color w:val="auto"/>
        </w:rPr>
        <w:t>We are an “emerging growth company” as the term is used in the Jumpstart Our Business Startups Act of 2012 and, as such, have elected to comply with certain reduced public company reporting requirements. See “Prospectus Supplement Summary—Corporate Information.”</w:t>
      </w:r>
    </w:p>
    <w:p>
      <w:pPr>
        <w:spacing w:after="0" w:line="181" w:lineRule="exact"/>
        <w:rPr>
          <w:sz w:val="24"/>
          <w:szCs w:val="24"/>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S-6 of this prospectus supplement.</w:t>
      </w:r>
    </w:p>
    <w:p>
      <w:pPr>
        <w:spacing w:after="0" w:line="248" w:lineRule="exact"/>
        <w:rPr>
          <w:sz w:val="24"/>
          <w:szCs w:val="24"/>
          <w:color w:val="auto"/>
        </w:rPr>
      </w:pPr>
    </w:p>
    <w:tbl>
      <w:tblPr>
        <w:tblLayout w:type="fixed"/>
        <w:tblInd w:w="634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tcPr>
          <w:p>
            <w:pPr>
              <w:jc w:val="center"/>
              <w:ind w:left="368"/>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1140" w:type="dxa"/>
            <w:vAlign w:val="bottom"/>
          </w:tcPr>
          <w:p>
            <w:pPr>
              <w:spacing w:after="0"/>
              <w:rPr>
                <w:sz w:val="14"/>
                <w:szCs w:val="14"/>
                <w:color w:val="auto"/>
              </w:rPr>
            </w:pPr>
          </w:p>
        </w:tc>
        <w:tc>
          <w:tcPr>
            <w:tcW w:w="2060" w:type="dxa"/>
            <w:vAlign w:val="bottom"/>
          </w:tcPr>
          <w:p>
            <w:pPr>
              <w:jc w:val="center"/>
              <w:ind w:left="88"/>
              <w:spacing w:after="0"/>
              <w:rPr>
                <w:sz w:val="20"/>
                <w:szCs w:val="20"/>
                <w:color w:val="auto"/>
              </w:rPr>
            </w:pPr>
            <w:r>
              <w:rPr>
                <w:rFonts w:ascii="Arial" w:cs="Arial" w:eastAsia="Arial" w:hAnsi="Arial"/>
                <w:sz w:val="14"/>
                <w:szCs w:val="14"/>
                <w:b w:val="1"/>
                <w:bCs w:val="1"/>
                <w:color w:val="auto"/>
              </w:rPr>
              <w:t>Underwriting</w:t>
            </w:r>
          </w:p>
        </w:tc>
        <w:tc>
          <w:tcPr>
            <w:tcW w:w="1380" w:type="dxa"/>
            <w:vAlign w:val="bottom"/>
          </w:tcPr>
          <w:p>
            <w:pPr>
              <w:jc w:val="center"/>
              <w:ind w:left="368"/>
              <w:spacing w:after="0"/>
              <w:rPr>
                <w:sz w:val="20"/>
                <w:szCs w:val="20"/>
                <w:color w:val="auto"/>
              </w:rPr>
            </w:pPr>
            <w:r>
              <w:rPr>
                <w:rFonts w:ascii="Arial" w:cs="Arial" w:eastAsia="Arial" w:hAnsi="Arial"/>
                <w:sz w:val="14"/>
                <w:szCs w:val="14"/>
                <w:b w:val="1"/>
                <w:bCs w:val="1"/>
                <w:color w:val="auto"/>
              </w:rPr>
              <w:t>Intellia</w:t>
            </w:r>
          </w:p>
        </w:tc>
      </w:tr>
      <w:tr>
        <w:trPr>
          <w:trHeight w:val="162"/>
        </w:trPr>
        <w:tc>
          <w:tcPr>
            <w:tcW w:w="1140" w:type="dxa"/>
            <w:vAlign w:val="bottom"/>
          </w:tcPr>
          <w:p>
            <w:pPr>
              <w:jc w:val="center"/>
              <w:ind w:right="528"/>
              <w:spacing w:after="0"/>
              <w:rPr>
                <w:sz w:val="20"/>
                <w:szCs w:val="20"/>
                <w:color w:val="auto"/>
              </w:rPr>
            </w:pPr>
            <w:r>
              <w:rPr>
                <w:rFonts w:ascii="Arial" w:cs="Arial" w:eastAsia="Arial" w:hAnsi="Arial"/>
                <w:sz w:val="14"/>
                <w:szCs w:val="14"/>
                <w:b w:val="1"/>
                <w:bCs w:val="1"/>
                <w:color w:val="auto"/>
              </w:rPr>
              <w:t>Price to</w:t>
            </w:r>
          </w:p>
        </w:tc>
        <w:tc>
          <w:tcPr>
            <w:tcW w:w="2060" w:type="dxa"/>
            <w:vAlign w:val="bottom"/>
          </w:tcPr>
          <w:p>
            <w:pPr>
              <w:jc w:val="center"/>
              <w:ind w:left="88"/>
              <w:spacing w:after="0"/>
              <w:rPr>
                <w:sz w:val="20"/>
                <w:szCs w:val="20"/>
                <w:color w:val="auto"/>
              </w:rPr>
            </w:pPr>
            <w:r>
              <w:rPr>
                <w:rFonts w:ascii="Arial" w:cs="Arial" w:eastAsia="Arial" w:hAnsi="Arial"/>
                <w:sz w:val="14"/>
                <w:szCs w:val="14"/>
                <w:b w:val="1"/>
                <w:bCs w:val="1"/>
                <w:color w:val="auto"/>
              </w:rPr>
              <w:t>Discounts and</w:t>
            </w:r>
          </w:p>
        </w:tc>
        <w:tc>
          <w:tcPr>
            <w:tcW w:w="1380" w:type="dxa"/>
            <w:vAlign w:val="bottom"/>
          </w:tcPr>
          <w:p>
            <w:pPr>
              <w:jc w:val="center"/>
              <w:ind w:left="368"/>
              <w:spacing w:after="0"/>
              <w:rPr>
                <w:sz w:val="20"/>
                <w:szCs w:val="20"/>
                <w:color w:val="auto"/>
              </w:rPr>
            </w:pPr>
            <w:r>
              <w:rPr>
                <w:rFonts w:ascii="Arial" w:cs="Arial" w:eastAsia="Arial" w:hAnsi="Arial"/>
                <w:sz w:val="14"/>
                <w:szCs w:val="14"/>
                <w:b w:val="1"/>
                <w:bCs w:val="1"/>
                <w:color w:val="auto"/>
              </w:rPr>
              <w:t>Therapeutics,</w:t>
            </w:r>
          </w:p>
        </w:tc>
      </w:tr>
      <w:tr>
        <w:trPr>
          <w:trHeight w:val="189"/>
        </w:trPr>
        <w:tc>
          <w:tcPr>
            <w:tcW w:w="1140" w:type="dxa"/>
            <w:vAlign w:val="bottom"/>
          </w:tcPr>
          <w:p>
            <w:pPr>
              <w:jc w:val="center"/>
              <w:ind w:right="528"/>
              <w:spacing w:after="0"/>
              <w:rPr>
                <w:sz w:val="20"/>
                <w:szCs w:val="20"/>
                <w:color w:val="auto"/>
              </w:rPr>
            </w:pPr>
            <w:r>
              <w:rPr>
                <w:rFonts w:ascii="Arial" w:cs="Arial" w:eastAsia="Arial" w:hAnsi="Arial"/>
                <w:sz w:val="14"/>
                <w:szCs w:val="14"/>
                <w:b w:val="1"/>
                <w:bCs w:val="1"/>
                <w:color w:val="auto"/>
                <w:w w:val="99"/>
              </w:rPr>
              <w:t>Public</w:t>
            </w:r>
          </w:p>
        </w:tc>
        <w:tc>
          <w:tcPr>
            <w:tcW w:w="2060" w:type="dxa"/>
            <w:vAlign w:val="bottom"/>
          </w:tcPr>
          <w:p>
            <w:pPr>
              <w:jc w:val="center"/>
              <w:ind w:left="88"/>
              <w:spacing w:after="0"/>
              <w:rPr>
                <w:sz w:val="20"/>
                <w:szCs w:val="20"/>
                <w:color w:val="auto"/>
              </w:rPr>
            </w:pPr>
            <w:r>
              <w:rPr>
                <w:rFonts w:ascii="Arial" w:cs="Arial" w:eastAsia="Arial" w:hAnsi="Arial"/>
                <w:sz w:val="14"/>
                <w:szCs w:val="14"/>
                <w:b w:val="1"/>
                <w:bCs w:val="1"/>
                <w:color w:val="auto"/>
              </w:rPr>
              <w:t>Commissions</w:t>
            </w:r>
          </w:p>
        </w:tc>
        <w:tc>
          <w:tcPr>
            <w:tcW w:w="1380" w:type="dxa"/>
            <w:vAlign w:val="bottom"/>
          </w:tcPr>
          <w:p>
            <w:pPr>
              <w:jc w:val="center"/>
              <w:ind w:left="388"/>
              <w:spacing w:after="0"/>
              <w:rPr>
                <w:sz w:val="20"/>
                <w:szCs w:val="20"/>
                <w:color w:val="auto"/>
              </w:rPr>
            </w:pPr>
            <w:r>
              <w:rPr>
                <w:rFonts w:ascii="Arial" w:cs="Arial" w:eastAsia="Arial" w:hAnsi="Arial"/>
                <w:sz w:val="14"/>
                <w:szCs w:val="14"/>
                <w:b w:val="1"/>
                <w:bCs w:val="1"/>
                <w:color w:val="auto"/>
                <w:w w:val="99"/>
              </w:rPr>
              <w:t>Inc.</w:t>
            </w:r>
          </w:p>
        </w:tc>
      </w:tr>
    </w:tbl>
    <w:p>
      <w:pPr>
        <w:spacing w:after="0" w:line="1" w:lineRule="exact"/>
        <w:rPr>
          <w:sz w:val="24"/>
          <w:szCs w:val="24"/>
          <w:color w:val="auto"/>
        </w:rPr>
      </w:pPr>
    </w:p>
    <w:p>
      <w:pPr>
        <w:sectPr>
          <w:pgSz w:w="11900" w:h="16838" w:orient="portrait"/>
          <w:cols w:equalWidth="0" w:num="1">
            <w:col w:w="11240"/>
          </w:cols>
          <w:pgMar w:left="240" w:top="230" w:right="419" w:bottom="1440" w:gutter="0" w:footer="0" w:header="0"/>
        </w:sectPr>
      </w:pPr>
    </w:p>
    <w:tbl>
      <w:tblPr>
        <w:tblLayout w:type="fixed"/>
        <w:tblInd w:w="200" w:type="dxa"/>
        <w:tblCellMar>
          <w:top w:w="0" w:type="dxa"/>
          <w:left w:w="0" w:type="dxa"/>
          <w:bottom w:w="0" w:type="dxa"/>
          <w:right w:w="0" w:type="dxa"/>
        </w:tblCellMar>
      </w:tblP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color w:val="auto"/>
              </w:rPr>
              <w:t>Per Share</w:t>
            </w:r>
          </w:p>
        </w:tc>
        <w:tc>
          <w:tcPr>
            <w:tcW w:w="1760" w:type="dxa"/>
            <w:vAlign w:val="bottom"/>
            <w:tcBorders>
              <w:top w:val="single" w:sz="8" w:color="auto"/>
            </w:tcBorders>
          </w:tcPr>
          <w:p>
            <w:pPr>
              <w:jc w:val="right"/>
              <w:ind w:right="1050"/>
              <w:spacing w:after="0" w:line="195" w:lineRule="exact"/>
              <w:rPr>
                <w:sz w:val="20"/>
                <w:szCs w:val="20"/>
                <w:color w:val="auto"/>
              </w:rPr>
            </w:pPr>
            <w:r>
              <w:rPr>
                <w:rFonts w:ascii="Arial" w:cs="Arial" w:eastAsia="Arial" w:hAnsi="Arial"/>
                <w:sz w:val="18"/>
                <w:szCs w:val="18"/>
                <w:color w:val="auto"/>
              </w:rPr>
              <w:t>$</w:t>
            </w:r>
          </w:p>
        </w:tc>
      </w:tr>
      <w:tr>
        <w:trPr>
          <w:trHeight w:val="217"/>
        </w:trPr>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Pr>
          <w:p>
            <w:pPr>
              <w:jc w:val="right"/>
              <w:ind w:right="1150"/>
              <w:spacing w:after="0"/>
              <w:rPr>
                <w:sz w:val="20"/>
                <w:szCs w:val="20"/>
                <w:color w:val="auto"/>
              </w:rPr>
            </w:pPr>
            <w:r>
              <w:rPr>
                <w:rFonts w:ascii="Arial" w:cs="Arial" w:eastAsia="Arial" w:hAnsi="Arial"/>
                <w:sz w:val="18"/>
                <w:szCs w:val="18"/>
                <w:color w:val="auto"/>
              </w:rPr>
              <w:t>$</w:t>
            </w:r>
          </w:p>
        </w:tc>
      </w:tr>
    </w:tbl>
    <w:p>
      <w:pPr>
        <w:spacing w:after="0" w:line="53"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Borders>
              <w:top w:val="single" w:sz="8" w:color="auto"/>
            </w:tcBorders>
          </w:tcPr>
          <w:p>
            <w:pPr>
              <w:jc w:val="right"/>
              <w:ind w:right="93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540" w:type="dxa"/>
            <w:vAlign w:val="bottom"/>
            <w:tcBorders>
              <w:top w:val="single" w:sz="8" w:color="auto"/>
            </w:tcBorders>
          </w:tcPr>
          <w:p>
            <w:pPr>
              <w:jc w:val="right"/>
              <w:ind w:right="950"/>
              <w:spacing w:after="0" w:line="195" w:lineRule="exact"/>
              <w:rPr>
                <w:sz w:val="20"/>
                <w:szCs w:val="20"/>
                <w:color w:val="auto"/>
              </w:rPr>
            </w:pPr>
            <w:r>
              <w:rPr>
                <w:rFonts w:ascii="Arial" w:cs="Arial" w:eastAsia="Arial" w:hAnsi="Arial"/>
                <w:sz w:val="18"/>
                <w:szCs w:val="18"/>
                <w:color w:val="auto"/>
              </w:rPr>
              <w:t>$</w:t>
            </w:r>
          </w:p>
        </w:tc>
      </w:tr>
      <w:tr>
        <w:trPr>
          <w:trHeight w:val="217"/>
        </w:trPr>
        <w:tc>
          <w:tcPr>
            <w:tcW w:w="154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color w:val="auto"/>
              </w:rPr>
              <w:t>$</w:t>
            </w:r>
          </w:p>
        </w:tc>
      </w:tr>
    </w:tbl>
    <w:p>
      <w:pPr>
        <w:spacing w:after="0" w:line="460" w:lineRule="exact"/>
        <w:rPr>
          <w:sz w:val="24"/>
          <w:szCs w:val="24"/>
          <w:color w:val="auto"/>
        </w:rPr>
      </w:pPr>
    </w:p>
    <w:p>
      <w:pPr>
        <w:sectPr>
          <w:pgSz w:w="11900" w:h="16838" w:orient="portrait"/>
          <w:cols w:equalWidth="0" w:num="2">
            <w:col w:w="7500" w:space="320"/>
            <w:col w:w="3420"/>
          </w:cols>
          <w:pgMar w:left="240" w:top="230" w:right="419" w:bottom="1440" w:gutter="0" w:footer="0" w:header="0"/>
          <w:type w:val="continuous"/>
        </w:sectPr>
      </w:pPr>
    </w:p>
    <w:p>
      <w:pPr>
        <w:spacing w:after="0" w:line="39" w:lineRule="exact"/>
        <w:rPr>
          <w:sz w:val="24"/>
          <w:szCs w:val="24"/>
          <w:color w:val="auto"/>
        </w:rPr>
      </w:pPr>
    </w:p>
    <w:p>
      <w:pPr>
        <w:ind w:left="200" w:right="240" w:firstLine="441"/>
        <w:spacing w:after="0"/>
        <w:rPr>
          <w:sz w:val="20"/>
          <w:szCs w:val="20"/>
          <w:color w:val="auto"/>
        </w:rPr>
      </w:pPr>
      <w:r>
        <w:rPr>
          <w:rFonts w:ascii="Arial" w:cs="Arial" w:eastAsia="Arial" w:hAnsi="Arial"/>
          <w:sz w:val="18"/>
          <w:szCs w:val="18"/>
          <w:color w:val="auto"/>
        </w:rPr>
        <w:t>Neither the Securities and Exchange Commission, any state securities commission nor any other regulatory body has approved or disapproved of these securities or determined if this prospectus supplement and accompanying prospectus is truthful or complete. Any representation to the contrary is a criminal offense.</w:t>
      </w:r>
    </w:p>
    <w:p>
      <w:pPr>
        <w:spacing w:after="0" w:line="203" w:lineRule="exact"/>
        <w:rPr>
          <w:sz w:val="24"/>
          <w:szCs w:val="24"/>
          <w:color w:val="auto"/>
        </w:rPr>
      </w:pPr>
    </w:p>
    <w:p>
      <w:pPr>
        <w:ind w:left="640"/>
        <w:spacing w:after="0"/>
        <w:tabs>
          <w:tab w:leader="none" w:pos="6040" w:val="left"/>
        </w:tabs>
        <w:rPr>
          <w:sz w:val="20"/>
          <w:szCs w:val="20"/>
          <w:color w:val="auto"/>
        </w:rPr>
      </w:pPr>
      <w:r>
        <w:rPr>
          <w:rFonts w:ascii="Arial" w:cs="Arial" w:eastAsia="Arial" w:hAnsi="Arial"/>
          <w:sz w:val="18"/>
          <w:szCs w:val="18"/>
          <w:color w:val="auto"/>
        </w:rPr>
        <w:t>The underwriters expect to deliver the shares on or about</w:t>
      </w:r>
      <w:r>
        <w:rPr>
          <w:sz w:val="20"/>
          <w:szCs w:val="20"/>
          <w:color w:val="auto"/>
        </w:rPr>
        <w:tab/>
      </w:r>
      <w:r>
        <w:rPr>
          <w:rFonts w:ascii="Arial" w:cs="Arial" w:eastAsia="Arial" w:hAnsi="Arial"/>
          <w:sz w:val="17"/>
          <w:szCs w:val="17"/>
          <w:color w:val="auto"/>
        </w:rPr>
        <w:t>, 2017.</w:t>
      </w:r>
    </w:p>
    <w:p>
      <w:pPr>
        <w:spacing w:after="0" w:line="199" w:lineRule="exact"/>
        <w:rPr>
          <w:sz w:val="24"/>
          <w:szCs w:val="24"/>
          <w:color w:val="auto"/>
        </w:rPr>
      </w:pPr>
    </w:p>
    <w:p>
      <w:pPr>
        <w:ind w:left="200"/>
        <w:spacing w:after="0"/>
        <w:tabs>
          <w:tab w:leader="none" w:pos="5220" w:val="left"/>
          <w:tab w:leader="none" w:pos="894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8"/>
          <w:szCs w:val="28"/>
          <w:b w:val="1"/>
          <w:bCs w:val="1"/>
          <w:color w:val="auto"/>
        </w:rPr>
        <w:t>Leerink Partners</w:t>
      </w:r>
    </w:p>
    <w:p>
      <w:pPr>
        <w:spacing w:after="0" w:line="300" w:lineRule="exact"/>
        <w:rPr>
          <w:sz w:val="24"/>
          <w:szCs w:val="24"/>
          <w:color w:val="auto"/>
        </w:rPr>
      </w:pPr>
    </w:p>
    <w:p>
      <w:pPr>
        <w:ind w:left="3200"/>
        <w:spacing w:after="0"/>
        <w:tabs>
          <w:tab w:leader="none" w:pos="7660" w:val="left"/>
        </w:tabs>
        <w:rPr>
          <w:sz w:val="20"/>
          <w:szCs w:val="20"/>
          <w:color w:val="auto"/>
        </w:rPr>
      </w:pPr>
      <w:r>
        <w:rPr>
          <w:rFonts w:ascii="Arial" w:cs="Arial" w:eastAsia="Arial" w:hAnsi="Arial"/>
          <w:sz w:val="18"/>
          <w:szCs w:val="18"/>
          <w:color w:val="auto"/>
        </w:rPr>
        <w:t>The date of this prospectus supplement is</w:t>
      </w:r>
      <w:r>
        <w:rPr>
          <w:sz w:val="20"/>
          <w:szCs w:val="20"/>
          <w:color w:val="auto"/>
        </w:rPr>
        <w:tab/>
      </w:r>
      <w:r>
        <w:rPr>
          <w:rFonts w:ascii="Arial" w:cs="Arial" w:eastAsia="Arial" w:hAnsi="Arial"/>
          <w:sz w:val="18"/>
          <w:szCs w:val="18"/>
          <w:color w:val="auto"/>
        </w:rPr>
        <w:t>, 2017.</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80" w:type="dxa"/>
            <w:vAlign w:val="bottom"/>
            <w:gridSpan w:val="5"/>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120" w:type="dxa"/>
            <w:vAlign w:val="bottom"/>
            <w:gridSpan w:val="26"/>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120" w:type="dxa"/>
            <w:vAlign w:val="bottom"/>
            <w:gridSpan w:val="26"/>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120" w:type="dxa"/>
            <w:vAlign w:val="bottom"/>
            <w:gridSpan w:val="26"/>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A</w:t>
              </w:r>
              <w:r>
                <w:rPr>
                  <w:rFonts w:ascii="Arial" w:cs="Arial" w:eastAsia="Arial" w:hAnsi="Arial"/>
                  <w:sz w:val="15"/>
                  <w:szCs w:val="15"/>
                  <w:color w:val="0000EE"/>
                </w:rPr>
                <w:t>BOUT THIS</w:t>
              </w:r>
              <w:r>
                <w:rPr>
                  <w:rFonts w:ascii="Arial" w:cs="Arial" w:eastAsia="Arial" w:hAnsi="Arial"/>
                  <w:sz w:val="18"/>
                  <w:szCs w:val="18"/>
                  <w:color w:val="0000EE"/>
                </w:rPr>
                <w:t xml:space="preserve"> 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UPPLEMENT</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w:t>
              </w:r>
              <w:r>
                <w:rPr>
                  <w:rFonts w:ascii="Arial" w:cs="Arial" w:eastAsia="Arial" w:hAnsi="Arial"/>
                  <w:sz w:val="15"/>
                  <w:szCs w:val="15"/>
                  <w:color w:val="0000EE"/>
                  <w:w w:val="94"/>
                </w:rPr>
                <w:t>ROSPECTUS</w:t>
              </w:r>
              <w:r>
                <w:rPr>
                  <w:rFonts w:ascii="Arial" w:cs="Arial" w:eastAsia="Arial" w:hAnsi="Arial"/>
                  <w:sz w:val="18"/>
                  <w:szCs w:val="18"/>
                  <w:color w:val="0000EE"/>
                  <w:w w:val="94"/>
                </w:rPr>
                <w:t xml:space="preserve"> S</w:t>
              </w:r>
              <w:r>
                <w:rPr>
                  <w:rFonts w:ascii="Arial" w:cs="Arial" w:eastAsia="Arial" w:hAnsi="Arial"/>
                  <w:sz w:val="15"/>
                  <w:szCs w:val="15"/>
                  <w:color w:val="0000EE"/>
                  <w:w w:val="94"/>
                </w:rPr>
                <w:t>UPPLEMENT</w:t>
              </w:r>
              <w:r>
                <w:rPr>
                  <w:rFonts w:ascii="Arial" w:cs="Arial" w:eastAsia="Arial" w:hAnsi="Arial"/>
                  <w:sz w:val="18"/>
                  <w:szCs w:val="18"/>
                  <w:color w:val="0000EE"/>
                  <w:w w:val="94"/>
                </w:rPr>
                <w:t xml:space="preserve"> S</w:t>
              </w:r>
              <w:r>
                <w:rPr>
                  <w:rFonts w:ascii="Arial" w:cs="Arial" w:eastAsia="Arial" w:hAnsi="Arial"/>
                  <w:sz w:val="15"/>
                  <w:szCs w:val="15"/>
                  <w:color w:val="0000EE"/>
                  <w:w w:val="94"/>
                </w:rPr>
                <w:t>UMMARY</w:t>
              </w:r>
            </w:hyperlink>
          </w:p>
        </w:tc>
        <w:tc>
          <w:tcPr>
            <w:tcW w:w="120" w:type="dxa"/>
            <w:vAlign w:val="bottom"/>
            <w:tcBorders>
              <w:top w:val="single" w:sz="8" w:color="0000EE"/>
            </w:tcBorders>
          </w:tcPr>
          <w:p>
            <w:pPr>
              <w:spacing w:after="0"/>
              <w:rPr>
                <w:sz w:val="17"/>
                <w:szCs w:val="17"/>
                <w:color w:val="auto"/>
              </w:rPr>
            </w:pPr>
          </w:p>
        </w:tc>
        <w:tc>
          <w:tcPr>
            <w:tcW w:w="718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T</w:t>
              </w:r>
              <w:r>
                <w:rPr>
                  <w:rFonts w:ascii="Arial" w:cs="Arial" w:eastAsia="Arial" w:hAnsi="Arial"/>
                  <w:sz w:val="15"/>
                  <w:szCs w:val="15"/>
                  <w:color w:val="0000EE"/>
                  <w:w w:val="97"/>
                </w:rPr>
                <w:t>HE</w:t>
              </w:r>
              <w:r>
                <w:rPr>
                  <w:rFonts w:ascii="Arial" w:cs="Arial" w:eastAsia="Arial" w:hAnsi="Arial"/>
                  <w:sz w:val="18"/>
                  <w:szCs w:val="18"/>
                  <w:color w:val="0000EE"/>
                  <w:w w:val="97"/>
                </w:rPr>
                <w:t xml:space="preserve"> O</w:t>
              </w:r>
              <w:r>
                <w:rPr>
                  <w:rFonts w:ascii="Arial" w:cs="Arial" w:eastAsia="Arial" w:hAnsi="Arial"/>
                  <w:sz w:val="15"/>
                  <w:szCs w:val="15"/>
                  <w:color w:val="0000EE"/>
                  <w:w w:val="97"/>
                </w:rPr>
                <w:t>FFERING</w:t>
              </w:r>
            </w:hyperlink>
          </w:p>
        </w:tc>
        <w:tc>
          <w:tcPr>
            <w:tcW w:w="894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9020" w:type="dxa"/>
            <w:vAlign w:val="bottom"/>
            <w:gridSpan w:val="2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C</w:t>
              </w:r>
              <w:r>
                <w:rPr>
                  <w:rFonts w:ascii="Arial" w:cs="Arial" w:eastAsia="Arial" w:hAnsi="Arial"/>
                  <w:sz w:val="15"/>
                  <w:szCs w:val="15"/>
                  <w:color w:val="0000EE"/>
                  <w:w w:val="96"/>
                </w:rPr>
                <w:t>AUTIONARY</w:t>
              </w:r>
              <w:r>
                <w:rPr>
                  <w:rFonts w:ascii="Arial" w:cs="Arial" w:eastAsia="Arial" w:hAnsi="Arial"/>
                  <w:sz w:val="18"/>
                  <w:szCs w:val="18"/>
                  <w:color w:val="0000EE"/>
                  <w:w w:val="96"/>
                </w:rPr>
                <w:t xml:space="preserve"> N</w:t>
              </w:r>
              <w:r>
                <w:rPr>
                  <w:rFonts w:ascii="Arial" w:cs="Arial" w:eastAsia="Arial" w:hAnsi="Arial"/>
                  <w:sz w:val="15"/>
                  <w:szCs w:val="15"/>
                  <w:color w:val="0000EE"/>
                  <w:w w:val="96"/>
                </w:rPr>
                <w:t>OTE</w:t>
              </w:r>
              <w:r>
                <w:rPr>
                  <w:rFonts w:ascii="Arial" w:cs="Arial" w:eastAsia="Arial" w:hAnsi="Arial"/>
                  <w:sz w:val="18"/>
                  <w:szCs w:val="18"/>
                  <w:color w:val="0000EE"/>
                  <w:w w:val="96"/>
                </w:rPr>
                <w:t xml:space="preserve"> R</w:t>
              </w:r>
              <w:r>
                <w:rPr>
                  <w:rFonts w:ascii="Arial" w:cs="Arial" w:eastAsia="Arial" w:hAnsi="Arial"/>
                  <w:sz w:val="15"/>
                  <w:szCs w:val="15"/>
                  <w:color w:val="0000EE"/>
                  <w:w w:val="96"/>
                </w:rPr>
                <w:t>EGARDING</w:t>
              </w:r>
              <w:r>
                <w:rPr>
                  <w:rFonts w:ascii="Arial" w:cs="Arial" w:eastAsia="Arial" w:hAnsi="Arial"/>
                  <w:sz w:val="18"/>
                  <w:szCs w:val="18"/>
                  <w:color w:val="0000EE"/>
                  <w:w w:val="96"/>
                </w:rPr>
                <w:t xml:space="preserve"> F</w:t>
              </w:r>
              <w:r>
                <w:rPr>
                  <w:rFonts w:ascii="Arial" w:cs="Arial" w:eastAsia="Arial" w:hAnsi="Arial"/>
                  <w:sz w:val="15"/>
                  <w:szCs w:val="15"/>
                  <w:color w:val="0000EE"/>
                  <w:w w:val="96"/>
                </w:rPr>
                <w:t>ORWARD</w:t>
              </w:r>
              <w:r>
                <w:rPr>
                  <w:rFonts w:ascii="Arial" w:cs="Arial" w:eastAsia="Arial" w:hAnsi="Arial"/>
                  <w:sz w:val="18"/>
                  <w:szCs w:val="18"/>
                  <w:color w:val="0000EE"/>
                  <w:w w:val="96"/>
                </w:rPr>
                <w:t xml:space="preserve"> -L</w:t>
              </w:r>
              <w:r>
                <w:rPr>
                  <w:rFonts w:ascii="Arial" w:cs="Arial" w:eastAsia="Arial" w:hAnsi="Arial"/>
                  <w:sz w:val="15"/>
                  <w:szCs w:val="15"/>
                  <w:color w:val="0000EE"/>
                  <w:w w:val="96"/>
                </w:rPr>
                <w:t>OOKING</w:t>
              </w:r>
              <w:r>
                <w:rPr>
                  <w:rFonts w:ascii="Arial" w:cs="Arial" w:eastAsia="Arial" w:hAnsi="Arial"/>
                  <w:sz w:val="18"/>
                  <w:szCs w:val="18"/>
                  <w:color w:val="0000EE"/>
                  <w:w w:val="96"/>
                </w:rPr>
                <w:t xml:space="preserve"> S</w:t>
              </w:r>
              <w:r>
                <w:rPr>
                  <w:rFonts w:ascii="Arial" w:cs="Arial" w:eastAsia="Arial" w:hAnsi="Arial"/>
                  <w:sz w:val="15"/>
                  <w:szCs w:val="15"/>
                  <w:color w:val="0000EE"/>
                  <w:w w:val="96"/>
                </w:rPr>
                <w:t>TATEMENTS</w:t>
              </w:r>
            </w:hyperlink>
          </w:p>
        </w:tc>
        <w:tc>
          <w:tcPr>
            <w:tcW w:w="510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S-51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8740" w:type="dxa"/>
            <w:vAlign w:val="bottom"/>
            <w:gridSpan w:val="1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S-53</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M</w:t>
              </w:r>
              <w:r>
                <w:rPr>
                  <w:rFonts w:ascii="Arial" w:cs="Arial" w:eastAsia="Arial" w:hAnsi="Arial"/>
                  <w:sz w:val="15"/>
                  <w:szCs w:val="15"/>
                  <w:color w:val="0000EE"/>
                  <w:w w:val="95"/>
                </w:rPr>
                <w:t>ARKET</w:t>
              </w:r>
              <w:r>
                <w:rPr>
                  <w:rFonts w:ascii="Arial" w:cs="Arial" w:eastAsia="Arial" w:hAnsi="Arial"/>
                  <w:sz w:val="18"/>
                  <w:szCs w:val="18"/>
                  <w:color w:val="0000EE"/>
                  <w:w w:val="95"/>
                </w:rPr>
                <w:t xml:space="preserve"> P</w:t>
              </w:r>
              <w:r>
                <w:rPr>
                  <w:rFonts w:ascii="Arial" w:cs="Arial" w:eastAsia="Arial" w:hAnsi="Arial"/>
                  <w:sz w:val="15"/>
                  <w:szCs w:val="15"/>
                  <w:color w:val="0000EE"/>
                  <w:w w:val="95"/>
                </w:rPr>
                <w:t>RICE FOR</w:t>
              </w:r>
              <w:r>
                <w:rPr>
                  <w:rFonts w:ascii="Arial" w:cs="Arial" w:eastAsia="Arial" w:hAnsi="Arial"/>
                  <w:sz w:val="18"/>
                  <w:szCs w:val="18"/>
                  <w:color w:val="0000EE"/>
                  <w:w w:val="95"/>
                </w:rPr>
                <w:t xml:space="preserve"> O</w:t>
              </w:r>
              <w:r>
                <w:rPr>
                  <w:rFonts w:ascii="Arial" w:cs="Arial" w:eastAsia="Arial" w:hAnsi="Arial"/>
                  <w:sz w:val="15"/>
                  <w:szCs w:val="15"/>
                  <w:color w:val="0000EE"/>
                  <w:w w:val="95"/>
                </w:rPr>
                <w:t>UR</w:t>
              </w:r>
              <w:r>
                <w:rPr>
                  <w:rFonts w:ascii="Arial" w:cs="Arial" w:eastAsia="Arial" w:hAnsi="Arial"/>
                  <w:sz w:val="18"/>
                  <w:szCs w:val="18"/>
                  <w:color w:val="0000EE"/>
                  <w:w w:val="95"/>
                </w:rPr>
                <w:t xml:space="preserve"> C</w:t>
              </w:r>
              <w:r>
                <w:rPr>
                  <w:rFonts w:ascii="Arial" w:cs="Arial" w:eastAsia="Arial" w:hAnsi="Arial"/>
                  <w:sz w:val="15"/>
                  <w:szCs w:val="15"/>
                  <w:color w:val="0000EE"/>
                  <w:w w:val="95"/>
                </w:rPr>
                <w:t>OMMON</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694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S-54</w:t>
            </w:r>
          </w:p>
        </w:tc>
        <w:tc>
          <w:tcPr>
            <w:tcW w:w="0" w:type="dxa"/>
            <w:vAlign w:val="bottom"/>
          </w:tcPr>
          <w:p>
            <w:pPr>
              <w:spacing w:after="0"/>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S-55</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876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S-56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ONSEQUENCES TO</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S-58</w:t>
            </w:r>
          </w:p>
        </w:tc>
        <w:tc>
          <w:tcPr>
            <w:tcW w:w="0" w:type="dxa"/>
            <w:vAlign w:val="bottom"/>
          </w:tcPr>
          <w:p>
            <w:pPr>
              <w:spacing w:after="0"/>
              <w:rPr>
                <w:sz w:val="1"/>
                <w:szCs w:val="1"/>
                <w:color w:val="auto"/>
              </w:rPr>
            </w:pPr>
          </w:p>
        </w:tc>
      </w:tr>
      <w:tr>
        <w:trPr>
          <w:trHeight w:val="196"/>
        </w:trPr>
        <w:tc>
          <w:tcPr>
            <w:tcW w:w="59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4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S-62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w:t>
              </w:r>
              <w:r>
                <w:rPr>
                  <w:rFonts w:ascii="Arial" w:cs="Arial" w:eastAsia="Arial" w:hAnsi="Arial"/>
                  <w:sz w:val="15"/>
                  <w:szCs w:val="15"/>
                  <w:color w:val="0000EE"/>
                </w:rPr>
                <w:t>EGAL MATTERS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S-70</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88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S-70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W</w:t>
              </w:r>
              <w:r>
                <w:rPr>
                  <w:rFonts w:ascii="Arial" w:cs="Arial" w:eastAsia="Arial" w:hAnsi="Arial"/>
                  <w:sz w:val="15"/>
                  <w:szCs w:val="15"/>
                  <w:color w:val="0000EE"/>
                </w:rPr>
                <w:t>HERE YOU CAN</w:t>
              </w:r>
              <w:r>
                <w:rPr>
                  <w:rFonts w:ascii="Arial" w:cs="Arial" w:eastAsia="Arial" w:hAnsi="Arial"/>
                  <w:sz w:val="18"/>
                  <w:szCs w:val="18"/>
                  <w:color w:val="0000EE"/>
                </w:rPr>
                <w:t xml:space="preserve"> F</w:t>
              </w:r>
              <w:r>
                <w:rPr>
                  <w:rFonts w:ascii="Arial" w:cs="Arial" w:eastAsia="Arial" w:hAnsi="Arial"/>
                  <w:sz w:val="15"/>
                  <w:szCs w:val="15"/>
                  <w:color w:val="0000EE"/>
                </w:rPr>
                <w:t>IND</w:t>
              </w:r>
              <w:r>
                <w:rPr>
                  <w:rFonts w:ascii="Arial" w:cs="Arial" w:eastAsia="Arial" w:hAnsi="Arial"/>
                  <w:sz w:val="18"/>
                  <w:szCs w:val="18"/>
                  <w:color w:val="0000EE"/>
                </w:rPr>
                <w:t xml:space="preserve"> M</w:t>
              </w:r>
              <w:r>
                <w:rPr>
                  <w:rFonts w:ascii="Arial" w:cs="Arial" w:eastAsia="Arial" w:hAnsi="Arial"/>
                  <w:sz w:val="15"/>
                  <w:szCs w:val="15"/>
                  <w:color w:val="0000EE"/>
                </w:rPr>
                <w:t>ORE</w:t>
              </w:r>
              <w:r>
                <w:rPr>
                  <w:rFonts w:ascii="Arial" w:cs="Arial" w:eastAsia="Arial" w:hAnsi="Arial"/>
                  <w:sz w:val="18"/>
                  <w:szCs w:val="18"/>
                  <w:color w:val="0000EE"/>
                </w:rPr>
                <w:t xml:space="preserve"> I</w:t>
              </w:r>
              <w:r>
                <w:rPr>
                  <w:rFonts w:ascii="Arial" w:cs="Arial" w:eastAsia="Arial" w:hAnsi="Arial"/>
                  <w:sz w:val="15"/>
                  <w:szCs w:val="15"/>
                  <w:color w:val="0000EE"/>
                </w:rPr>
                <w:t>NFORMATION</w:t>
              </w:r>
              <w:r>
                <w:rPr>
                  <w:rFonts w:ascii="Arial" w:cs="Arial" w:eastAsia="Arial" w:hAnsi="Arial"/>
                  <w:sz w:val="18"/>
                  <w:szCs w:val="18"/>
                  <w:color w:val="0000EE"/>
                </w:rPr>
                <w:t>; I</w:t>
              </w:r>
              <w:r>
                <w:rPr>
                  <w:rFonts w:ascii="Arial" w:cs="Arial" w:eastAsia="Arial" w:hAnsi="Arial"/>
                  <w:sz w:val="15"/>
                  <w:szCs w:val="15"/>
                  <w:color w:val="0000EE"/>
                </w:rPr>
                <w:t>NCORPORATION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S-71</w:t>
            </w:r>
          </w:p>
        </w:tc>
        <w:tc>
          <w:tcPr>
            <w:tcW w:w="0" w:type="dxa"/>
            <w:vAlign w:val="bottom"/>
          </w:tcPr>
          <w:p>
            <w:pPr>
              <w:spacing w:after="0"/>
              <w:rPr>
                <w:sz w:val="1"/>
                <w:szCs w:val="1"/>
                <w:color w:val="auto"/>
              </w:rPr>
            </w:pPr>
          </w:p>
        </w:tc>
      </w:tr>
      <w:tr>
        <w:trPr>
          <w:trHeight w:val="169"/>
        </w:trPr>
        <w:tc>
          <w:tcPr>
            <w:tcW w:w="5780" w:type="dxa"/>
            <w:vAlign w:val="bottom"/>
            <w:tcBorders>
              <w:top w:val="single" w:sz="8" w:color="0000EE"/>
              <w:bottom w:val="single" w:sz="8" w:color="0000EE"/>
            </w:tcBorders>
            <w:gridSpan w:val="24"/>
            <w:vMerge w:val="restart"/>
          </w:tcPr>
          <w:p>
            <w:pPr>
              <w:spacing w:after="0"/>
              <w:rPr>
                <w:sz w:val="20"/>
                <w:szCs w:val="20"/>
                <w:color w:val="auto"/>
              </w:rPr>
            </w:pPr>
            <w:r>
              <w:rPr>
                <w:rFonts w:ascii="Arial" w:cs="Arial" w:eastAsia="Arial" w:hAnsi="Arial"/>
                <w:sz w:val="18"/>
                <w:szCs w:val="18"/>
                <w:b w:val="1"/>
                <w:bCs w:val="1"/>
                <w:color w:val="auto"/>
              </w:rPr>
              <w:t>PROSPECTUS</w:t>
            </w:r>
          </w:p>
        </w:tc>
        <w:tc>
          <w:tcPr>
            <w:tcW w:w="4340" w:type="dxa"/>
            <w:vAlign w:val="bottom"/>
            <w:gridSpan w:val="2"/>
            <w:vMerge w:val="restart"/>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5780" w:type="dxa"/>
            <w:vAlign w:val="bottom"/>
            <w:gridSpan w:val="24"/>
            <w:vMerge w:val="continue"/>
          </w:tcPr>
          <w:p>
            <w:pPr>
              <w:spacing w:after="0"/>
              <w:rPr>
                <w:sz w:val="15"/>
                <w:szCs w:val="15"/>
                <w:color w:val="auto"/>
              </w:rPr>
            </w:pPr>
          </w:p>
        </w:tc>
        <w:tc>
          <w:tcPr>
            <w:tcW w:w="43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20" w:type="dxa"/>
            <w:vAlign w:val="bottom"/>
            <w:tcBorders>
              <w:bottom w:val="single" w:sz="8" w:color="0000EE"/>
            </w:tcBorders>
            <w:gridSpan w:val="11"/>
          </w:tcPr>
          <w:p>
            <w:pPr>
              <w:spacing w:after="0" w:line="190"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A</w:t>
              </w:r>
              <w:r>
                <w:rPr>
                  <w:rFonts w:ascii="Arial" w:cs="Arial" w:eastAsia="Arial" w:hAnsi="Arial"/>
                  <w:sz w:val="15"/>
                  <w:szCs w:val="15"/>
                  <w:color w:val="0000EE"/>
                  <w:w w:val="93"/>
                </w:rPr>
                <w:t>BOUT THIS</w:t>
              </w:r>
              <w:r>
                <w:rPr>
                  <w:rFonts w:ascii="Arial" w:cs="Arial" w:eastAsia="Arial" w:hAnsi="Arial"/>
                  <w:sz w:val="18"/>
                  <w:szCs w:val="18"/>
                  <w:color w:val="0000EE"/>
                  <w:w w:val="93"/>
                </w:rPr>
                <w:t xml:space="preserve"> P</w:t>
              </w:r>
              <w:r>
                <w:rPr>
                  <w:rFonts w:ascii="Arial" w:cs="Arial" w:eastAsia="Arial" w:hAnsi="Arial"/>
                  <w:sz w:val="15"/>
                  <w:szCs w:val="15"/>
                  <w:color w:val="0000EE"/>
                  <w:w w:val="93"/>
                </w:rPr>
                <w:t>ROSPECTUS</w:t>
              </w:r>
            </w:hyperlink>
          </w:p>
        </w:tc>
        <w:tc>
          <w:tcPr>
            <w:tcW w:w="8200" w:type="dxa"/>
            <w:vAlign w:val="bottom"/>
            <w:gridSpan w:val="15"/>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9020" w:type="dxa"/>
            <w:vAlign w:val="bottom"/>
            <w:gridSpan w:val="2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C</w:t>
              </w:r>
              <w:r>
                <w:rPr>
                  <w:rFonts w:ascii="Arial" w:cs="Arial" w:eastAsia="Arial" w:hAnsi="Arial"/>
                  <w:sz w:val="15"/>
                  <w:szCs w:val="15"/>
                  <w:color w:val="0000EE"/>
                  <w:w w:val="95"/>
                </w:rPr>
                <w:t>AUTIONARY</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w:t>
              </w:r>
              <w:r>
                <w:rPr>
                  <w:rFonts w:ascii="Arial" w:cs="Arial" w:eastAsia="Arial" w:hAnsi="Arial"/>
                  <w:sz w:val="18"/>
                  <w:szCs w:val="18"/>
                  <w:color w:val="0000EE"/>
                  <w:w w:val="95"/>
                </w:rPr>
                <w:t xml:space="preserve"> R</w:t>
              </w:r>
              <w:r>
                <w:rPr>
                  <w:rFonts w:ascii="Arial" w:cs="Arial" w:eastAsia="Arial" w:hAnsi="Arial"/>
                  <w:sz w:val="15"/>
                  <w:szCs w:val="15"/>
                  <w:color w:val="0000EE"/>
                  <w:w w:val="95"/>
                </w:rPr>
                <w:t>EGARDING</w:t>
              </w:r>
              <w:r>
                <w:rPr>
                  <w:rFonts w:ascii="Arial" w:cs="Arial" w:eastAsia="Arial" w:hAnsi="Arial"/>
                  <w:sz w:val="18"/>
                  <w:szCs w:val="18"/>
                  <w:color w:val="0000EE"/>
                  <w:w w:val="95"/>
                </w:rPr>
                <w:t xml:space="preserve"> F</w:t>
              </w:r>
              <w:r>
                <w:rPr>
                  <w:rFonts w:ascii="Arial" w:cs="Arial" w:eastAsia="Arial" w:hAnsi="Arial"/>
                  <w:sz w:val="15"/>
                  <w:szCs w:val="15"/>
                  <w:color w:val="0000EE"/>
                  <w:w w:val="95"/>
                </w:rPr>
                <w:t>ORWARD</w:t>
              </w:r>
              <w:r>
                <w:rPr>
                  <w:rFonts w:ascii="Arial" w:cs="Arial" w:eastAsia="Arial" w:hAnsi="Arial"/>
                  <w:sz w:val="18"/>
                  <w:szCs w:val="18"/>
                  <w:color w:val="0000EE"/>
                  <w:w w:val="95"/>
                </w:rPr>
                <w:t xml:space="preserve"> -L</w:t>
              </w:r>
              <w:r>
                <w:rPr>
                  <w:rFonts w:ascii="Arial" w:cs="Arial" w:eastAsia="Arial" w:hAnsi="Arial"/>
                  <w:sz w:val="15"/>
                  <w:szCs w:val="15"/>
                  <w:color w:val="0000EE"/>
                  <w:w w:val="95"/>
                </w:rPr>
                <w:t>OOKING</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TATEMENTS</w:t>
              </w:r>
            </w:hyperlink>
          </w:p>
        </w:tc>
        <w:tc>
          <w:tcPr>
            <w:tcW w:w="464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T</w:t>
              </w:r>
              <w:r>
                <w:rPr>
                  <w:rFonts w:ascii="Arial" w:cs="Arial" w:eastAsia="Arial" w:hAnsi="Arial"/>
                  <w:sz w:val="15"/>
                  <w:szCs w:val="15"/>
                  <w:color w:val="0000EE"/>
                  <w:w w:val="99"/>
                </w:rPr>
                <w:t>HE</w:t>
              </w:r>
              <w:r>
                <w:rPr>
                  <w:rFonts w:ascii="Arial" w:cs="Arial" w:eastAsia="Arial" w:hAnsi="Arial"/>
                  <w:sz w:val="18"/>
                  <w:szCs w:val="18"/>
                  <w:color w:val="0000EE"/>
                  <w:w w:val="99"/>
                </w:rPr>
                <w:t xml:space="preserve"> C</w:t>
              </w:r>
              <w:r>
                <w:rPr>
                  <w:rFonts w:ascii="Arial" w:cs="Arial" w:eastAsia="Arial" w:hAnsi="Arial"/>
                  <w:sz w:val="15"/>
                  <w:szCs w:val="15"/>
                  <w:color w:val="0000EE"/>
                  <w:w w:val="99"/>
                </w:rPr>
                <w:t>OMPANY</w:t>
              </w:r>
            </w:hyperlink>
          </w:p>
        </w:tc>
        <w:tc>
          <w:tcPr>
            <w:tcW w:w="894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R</w:t>
              </w:r>
              <w:r>
                <w:rPr>
                  <w:rFonts w:ascii="Arial" w:cs="Arial" w:eastAsia="Arial" w:hAnsi="Arial"/>
                  <w:sz w:val="15"/>
                  <w:szCs w:val="15"/>
                  <w:color w:val="0000EE"/>
                </w:rPr>
                <w:t>ATIO OF</w:t>
              </w:r>
              <w:r>
                <w:rPr>
                  <w:rFonts w:ascii="Arial" w:cs="Arial" w:eastAsia="Arial" w:hAnsi="Arial"/>
                  <w:sz w:val="18"/>
                  <w:szCs w:val="18"/>
                  <w:color w:val="0000EE"/>
                </w:rPr>
                <w:t xml:space="preserve"> E</w:t>
              </w:r>
              <w:r>
                <w:rPr>
                  <w:rFonts w:ascii="Arial" w:cs="Arial" w:eastAsia="Arial" w:hAnsi="Arial"/>
                  <w:sz w:val="15"/>
                  <w:szCs w:val="15"/>
                  <w:color w:val="0000EE"/>
                </w:rPr>
                <w:t>ARNINGS TO</w:t>
              </w:r>
              <w:r>
                <w:rPr>
                  <w:rFonts w:ascii="Arial" w:cs="Arial" w:eastAsia="Arial" w:hAnsi="Arial"/>
                  <w:sz w:val="18"/>
                  <w:szCs w:val="18"/>
                  <w:color w:val="0000EE"/>
                </w:rPr>
                <w:t xml:space="preserve"> F</w:t>
              </w:r>
              <w:r>
                <w:rPr>
                  <w:rFonts w:ascii="Arial" w:cs="Arial" w:eastAsia="Arial" w:hAnsi="Arial"/>
                  <w:sz w:val="15"/>
                  <w:szCs w:val="15"/>
                  <w:color w:val="0000EE"/>
                </w:rPr>
                <w:t>IXED</w:t>
              </w:r>
              <w:r>
                <w:rPr>
                  <w:rFonts w:ascii="Arial" w:cs="Arial" w:eastAsia="Arial" w:hAnsi="Arial"/>
                  <w:sz w:val="18"/>
                  <w:szCs w:val="18"/>
                  <w:color w:val="0000EE"/>
                </w:rPr>
                <w:t xml:space="preserve"> C</w:t>
              </w:r>
              <w:r>
                <w:rPr>
                  <w:rFonts w:ascii="Arial" w:cs="Arial" w:eastAsia="Arial" w:hAnsi="Arial"/>
                  <w:sz w:val="15"/>
                  <w:szCs w:val="15"/>
                  <w:color w:val="0000EE"/>
                </w:rPr>
                <w:t>HARGES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1640" w:type="dxa"/>
            <w:vAlign w:val="bottom"/>
            <w:tcBorders>
              <w:top w:val="single" w:sz="8" w:color="0000EE"/>
            </w:tcBorders>
            <w:gridSpan w:val="11"/>
          </w:tcPr>
          <w:p>
            <w:pPr>
              <w:spacing w:after="0"/>
              <w:rPr>
                <w:sz w:val="17"/>
                <w:szCs w:val="17"/>
                <w:color w:val="auto"/>
              </w:rPr>
            </w:pPr>
          </w:p>
        </w:tc>
        <w:tc>
          <w:tcPr>
            <w:tcW w:w="710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85">
              <w:r>
                <w:rPr>
                  <w:rFonts w:ascii="Arial" w:cs="Arial" w:eastAsia="Arial" w:hAnsi="Arial"/>
                  <w:sz w:val="18"/>
                  <w:szCs w:val="18"/>
                  <w:color w:val="0000EE"/>
                  <w:w w:val="97"/>
                </w:rPr>
                <w:t>S</w:t>
              </w:r>
              <w:r>
                <w:rPr>
                  <w:rFonts w:ascii="Arial" w:cs="Arial" w:eastAsia="Arial" w:hAnsi="Arial"/>
                  <w:sz w:val="15"/>
                  <w:szCs w:val="15"/>
                  <w:color w:val="0000EE"/>
                  <w:w w:val="97"/>
                </w:rPr>
                <w:t>ECURITIES</w:t>
              </w:r>
              <w:r>
                <w:rPr>
                  <w:rFonts w:ascii="Arial" w:cs="Arial" w:eastAsia="Arial" w:hAnsi="Arial"/>
                  <w:sz w:val="18"/>
                  <w:szCs w:val="18"/>
                  <w:color w:val="0000EE"/>
                  <w:w w:val="97"/>
                </w:rPr>
                <w:t xml:space="preserve"> W</w:t>
              </w:r>
              <w:r>
                <w:rPr>
                  <w:rFonts w:ascii="Arial" w:cs="Arial" w:eastAsia="Arial" w:hAnsi="Arial"/>
                  <w:sz w:val="15"/>
                  <w:szCs w:val="15"/>
                  <w:color w:val="0000EE"/>
                  <w:w w:val="97"/>
                </w:rPr>
                <w:t>E</w:t>
              </w:r>
              <w:r>
                <w:rPr>
                  <w:rFonts w:ascii="Arial" w:cs="Arial" w:eastAsia="Arial" w:hAnsi="Arial"/>
                  <w:sz w:val="18"/>
                  <w:szCs w:val="18"/>
                  <w:color w:val="0000EE"/>
                  <w:w w:val="97"/>
                </w:rPr>
                <w:t xml:space="preserve"> M</w:t>
              </w:r>
              <w:r>
                <w:rPr>
                  <w:rFonts w:ascii="Arial" w:cs="Arial" w:eastAsia="Arial" w:hAnsi="Arial"/>
                  <w:sz w:val="15"/>
                  <w:szCs w:val="15"/>
                  <w:color w:val="0000EE"/>
                  <w:w w:val="97"/>
                </w:rPr>
                <w:t>AY</w:t>
              </w:r>
              <w:r>
                <w:rPr>
                  <w:rFonts w:ascii="Arial" w:cs="Arial" w:eastAsia="Arial" w:hAnsi="Arial"/>
                  <w:sz w:val="18"/>
                  <w:szCs w:val="18"/>
                  <w:color w:val="0000EE"/>
                  <w:w w:val="97"/>
                </w:rPr>
                <w:t xml:space="preserve"> O</w:t>
              </w:r>
              <w:r>
                <w:rPr>
                  <w:rFonts w:ascii="Arial" w:cs="Arial" w:eastAsia="Arial" w:hAnsi="Arial"/>
                  <w:sz w:val="15"/>
                  <w:szCs w:val="15"/>
                  <w:color w:val="0000EE"/>
                  <w:w w:val="97"/>
                </w:rPr>
                <w:t>FFER</w:t>
              </w:r>
            </w:hyperlink>
          </w:p>
        </w:tc>
        <w:tc>
          <w:tcPr>
            <w:tcW w:w="794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764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D</w:t>
              </w:r>
              <w:r>
                <w:rPr>
                  <w:rFonts w:ascii="Arial" w:cs="Arial" w:eastAsia="Arial" w:hAnsi="Arial"/>
                  <w:sz w:val="15"/>
                  <w:szCs w:val="15"/>
                  <w:color w:val="0000EE"/>
                </w:rPr>
                <w:t>EBT</w:t>
              </w:r>
              <w:r>
                <w:rPr>
                  <w:rFonts w:ascii="Arial" w:cs="Arial" w:eastAsia="Arial" w:hAnsi="Arial"/>
                  <w:sz w:val="18"/>
                  <w:szCs w:val="18"/>
                  <w:color w:val="0000EE"/>
                </w:rPr>
                <w:t xml:space="preserve"> S</w:t>
              </w:r>
              <w:r>
                <w:rPr>
                  <w:rFonts w:ascii="Arial" w:cs="Arial" w:eastAsia="Arial" w:hAnsi="Arial"/>
                  <w:sz w:val="15"/>
                  <w:szCs w:val="15"/>
                  <w:color w:val="0000EE"/>
                </w:rPr>
                <w:t>ECURITIES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W</w:t>
              </w:r>
              <w:r>
                <w:rPr>
                  <w:rFonts w:ascii="Arial" w:cs="Arial" w:eastAsia="Arial" w:hAnsi="Arial"/>
                  <w:sz w:val="15"/>
                  <w:szCs w:val="15"/>
                  <w:color w:val="0000EE"/>
                  <w:w w:val="95"/>
                </w:rPr>
                <w:t>ARRANTS</w:t>
              </w:r>
            </w:hyperlink>
          </w:p>
        </w:tc>
        <w:tc>
          <w:tcPr>
            <w:tcW w:w="440" w:type="dxa"/>
            <w:vAlign w:val="bottom"/>
            <w:tcBorders>
              <w:top w:val="single" w:sz="8" w:color="0000EE"/>
            </w:tcBorders>
            <w:gridSpan w:val="4"/>
          </w:tcPr>
          <w:p>
            <w:pPr>
              <w:spacing w:after="0"/>
              <w:rPr>
                <w:sz w:val="17"/>
                <w:szCs w:val="17"/>
                <w:color w:val="auto"/>
              </w:rPr>
            </w:pPr>
          </w:p>
        </w:tc>
        <w:tc>
          <w:tcPr>
            <w:tcW w:w="752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U</w:t>
              </w:r>
              <w:r>
                <w:rPr>
                  <w:rFonts w:ascii="Arial" w:cs="Arial" w:eastAsia="Arial" w:hAnsi="Arial"/>
                  <w:sz w:val="15"/>
                  <w:szCs w:val="15"/>
                  <w:color w:val="0000EE"/>
                </w:rPr>
                <w:t>NITS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60" w:type="dxa"/>
            <w:vAlign w:val="bottom"/>
            <w:gridSpan w:val="6"/>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2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w:t>
              </w:r>
              <w:r>
                <w:rPr>
                  <w:rFonts w:ascii="Arial" w:cs="Arial" w:eastAsia="Arial" w:hAnsi="Arial"/>
                  <w:sz w:val="15"/>
                  <w:szCs w:val="15"/>
                  <w:color w:val="0000EE"/>
                </w:rPr>
                <w:t>LAN OF</w:t>
              </w:r>
              <w:r>
                <w:rPr>
                  <w:rFonts w:ascii="Arial" w:cs="Arial" w:eastAsia="Arial" w:hAnsi="Arial"/>
                  <w:sz w:val="18"/>
                  <w:szCs w:val="18"/>
                  <w:color w:val="0000EE"/>
                </w:rPr>
                <w:t xml:space="preserve"> D</w:t>
              </w:r>
              <w:r>
                <w:rPr>
                  <w:rFonts w:ascii="Arial" w:cs="Arial" w:eastAsia="Arial" w:hAnsi="Arial"/>
                  <w:sz w:val="15"/>
                  <w:szCs w:val="15"/>
                  <w:color w:val="0000EE"/>
                </w:rPr>
                <w:t>ISTRIBUTION</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L</w:t>
              </w:r>
              <w:r>
                <w:rPr>
                  <w:rFonts w:ascii="Arial" w:cs="Arial" w:eastAsia="Arial" w:hAnsi="Arial"/>
                  <w:sz w:val="15"/>
                  <w:szCs w:val="15"/>
                  <w:color w:val="0000EE"/>
                </w:rPr>
                <w:t>EGAL</w:t>
              </w:r>
              <w:r>
                <w:rPr>
                  <w:rFonts w:ascii="Arial" w:cs="Arial" w:eastAsia="Arial" w:hAnsi="Arial"/>
                  <w:sz w:val="18"/>
                  <w:szCs w:val="18"/>
                  <w:color w:val="0000EE"/>
                </w:rPr>
                <w:t xml:space="preserve"> M</w:t>
              </w:r>
              <w:r>
                <w:rPr>
                  <w:rFonts w:ascii="Arial" w:cs="Arial" w:eastAsia="Arial" w:hAnsi="Arial"/>
                  <w:sz w:val="15"/>
                  <w:szCs w:val="15"/>
                  <w:color w:val="0000EE"/>
                </w:rPr>
                <w:t>ATTERS</w:t>
              </w:r>
            </w:hyperlink>
          </w:p>
        </w:tc>
        <w:tc>
          <w:tcPr>
            <w:tcW w:w="836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860" w:type="dxa"/>
            <w:vAlign w:val="bottom"/>
            <w:gridSpan w:val="2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740" w:type="dxa"/>
            <w:vAlign w:val="bottom"/>
            <w:gridSpan w:val="13"/>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678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I</w:t>
              </w:r>
              <w:r>
                <w:rPr>
                  <w:rFonts w:ascii="Arial" w:cs="Arial" w:eastAsia="Arial" w:hAnsi="Arial"/>
                  <w:sz w:val="15"/>
                  <w:szCs w:val="15"/>
                  <w:color w:val="0000EE"/>
                  <w:w w:val="94"/>
                </w:rPr>
                <w:t>NCORPORATION BY</w:t>
              </w:r>
              <w:r>
                <w:rPr>
                  <w:rFonts w:ascii="Arial" w:cs="Arial" w:eastAsia="Arial" w:hAnsi="Arial"/>
                  <w:sz w:val="18"/>
                  <w:szCs w:val="18"/>
                  <w:color w:val="0000EE"/>
                  <w:w w:val="94"/>
                </w:rPr>
                <w:t xml:space="preserve"> R</w:t>
              </w:r>
              <w:r>
                <w:rPr>
                  <w:rFonts w:ascii="Arial" w:cs="Arial" w:eastAsia="Arial" w:hAnsi="Arial"/>
                  <w:sz w:val="15"/>
                  <w:szCs w:val="15"/>
                  <w:color w:val="0000EE"/>
                  <w:w w:val="94"/>
                </w:rPr>
                <w:t>EFERENCE</w:t>
              </w:r>
            </w:hyperlink>
          </w:p>
        </w:tc>
        <w:tc>
          <w:tcPr>
            <w:tcW w:w="772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of common stock and also adds to and updates information contained in the accompanying prospectus and the documents incorporated by reference into this prospectus supplement and the accompanying prospectus. The second part is the accompanying prospectus dated June 16, 2017, included in our registration statement on Form S-3 (File No. 333-218508), along with the documents incorporated by reference therein, which provides more general information, some of which may not apply to this offering. Generally, when we refer to this prospectus, we are referring to both parts of this document combined.</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that was filed with the Securities and Exchange Commission (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are part of a “shelf” registration statement that we filed with the SEC. Under the shelf registration process, we may offer from time to time various securities, of which this offering of shares of our common stock is a part.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w:t>
      </w:r>
    </w:p>
    <w:p>
      <w:pPr>
        <w:spacing w:after="0" w:line="19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along with the information contained in any free writing prospectus that we have authorized for use in connection with this offering. We have not, and the underwriters have not, authorized anyone to provide you with different or additional information. If anyone provides you with different or inconsistent information, you should not rely on it. We and the underwriters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unless we indicate otherwise. Our business, financial condition, results of operations and prospects may have changed since those dates.</w:t>
      </w:r>
    </w:p>
    <w:p>
      <w:pPr>
        <w:spacing w:after="0" w:line="166"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15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When we refer to “Intellia,” “we,” “our,” “us” and the “Company” in this prospectus, we mean Intellia Therapeutics, Inc. and, where appropriate, our subsidiary, unless otherwise specified. When we refer to “you,” we mean the holders of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24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6024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380" w:right="80" w:firstLine="426"/>
        <w:spacing w:after="0" w:line="271"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our financial statements and related notes and the other information incorporated by reference into this prospectus supplement and the accompanying prospectus, and the information included in any free writing prospectus that we have authorized for use in connection with this offering, including the information referred to under the heading “Risk Factors” in this prospectus supplement beginning on page S-6 and in the documents incorporated herein by reference.</w:t>
      </w:r>
    </w:p>
    <w:p>
      <w:pPr>
        <w:spacing w:after="0" w:line="28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We are a leading genome editing company focused on the development of proprietary, potentially curative therapeutics utilizing a biological tool known as CRISPR/Cas9. We believe that the CRISPR/Cas9 technology has the potential to transform medicine by permanently editing disease-associated genes or genetic material in the human body with a single treatment course. We intend to leverage our leading scientific expertise, clinical development experience and intellectual property position to unlock broad therapeutic applications of CRISPR/Cas9 genome editing and develop a potential new class of therapeutic products.</w:t>
      </w:r>
    </w:p>
    <w:p>
      <w:pPr>
        <w:spacing w:after="0" w:line="188"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We believe that the combination of our product focus, therapeutic discovery and development strength, delivery expertise and intellectual property portfolio makes us well-positioned to translate the potential of the CRISPR/Cas9 system into clinically meaningful genome editing-based therapeutics. To maximize our opportunity to rapidly develop clinically successful products, we have applied a risk-mitigated approach to selecting our initial indications that we refer to as our sentinel indications. Our approach is defined by four primary criteria:</w:t>
      </w:r>
    </w:p>
    <w:p>
      <w:pPr>
        <w:spacing w:after="0" w:line="60" w:lineRule="exact"/>
        <w:rPr>
          <w:sz w:val="20"/>
          <w:szCs w:val="20"/>
          <w:color w:val="auto"/>
        </w:rPr>
      </w:pPr>
    </w:p>
    <w:p>
      <w:pPr>
        <w:ind w:left="1000" w:hanging="1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type of edit: knockout, repair or insertion;</w:t>
      </w:r>
    </w:p>
    <w:p>
      <w:pPr>
        <w:spacing w:after="0" w:line="130" w:lineRule="exact"/>
        <w:rPr>
          <w:rFonts w:ascii="Arial" w:cs="Arial" w:eastAsia="Arial" w:hAnsi="Arial"/>
          <w:sz w:val="18"/>
          <w:szCs w:val="18"/>
          <w:color w:val="auto"/>
        </w:rPr>
      </w:pPr>
    </w:p>
    <w:p>
      <w:pPr>
        <w:ind w:left="1000" w:hanging="1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delivery modality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w:t>
      </w:r>
    </w:p>
    <w:p>
      <w:pPr>
        <w:spacing w:after="0" w:line="130" w:lineRule="exact"/>
        <w:rPr>
          <w:rFonts w:ascii="Arial" w:cs="Arial" w:eastAsia="Arial" w:hAnsi="Arial"/>
          <w:sz w:val="18"/>
          <w:szCs w:val="18"/>
          <w:color w:val="auto"/>
        </w:rPr>
      </w:pPr>
    </w:p>
    <w:p>
      <w:pPr>
        <w:ind w:left="1000" w:hanging="1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presence of established therapeutic endpoints; and</w:t>
      </w:r>
    </w:p>
    <w:p>
      <w:pPr>
        <w:spacing w:after="0" w:line="130" w:lineRule="exact"/>
        <w:rPr>
          <w:rFonts w:ascii="Arial" w:cs="Arial" w:eastAsia="Arial" w:hAnsi="Arial"/>
          <w:sz w:val="18"/>
          <w:szCs w:val="18"/>
          <w:color w:val="auto"/>
        </w:rPr>
      </w:pPr>
    </w:p>
    <w:p>
      <w:pPr>
        <w:ind w:left="1000" w:hanging="1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for the CRISPR/Cas9 system to provide therapeutic benefits when compared to existing therapeutic modalities.</w:t>
      </w:r>
    </w:p>
    <w:p>
      <w:pPr>
        <w:spacing w:after="0" w:line="225"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 xml:space="preserve">We plan to use the CRISPR/Cas9 system across two broad areas: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applications, in which CRISPR/Cas9 therapeutic products are delivered directly to target cells within the body;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applications, in which cells are removed from a patient’s body, modified using CRISPR/Cas9 and then returned to the patient. Initially,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pipeline includes proprietary programs targeting transthyretin amyloidosis (ATTR), which we are co-developing with Regeneron Pharmaceuticals, Inc. (Regeneron), chronic hepatitis B infection, alpha-1 antitrypsin deficiency (AATD) and inborn errors of metabolism (IEMs). Our initial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pipeline includes both proprietary and partnered programs focused on chimeric antigen receptor T cells (CAR-T cells) and hematopoietic stem cells (HSCs), the stem cells from which all of the various types of blood cells originate, which we are developing in collaboration with Novartis Institutes for BioMedical Research, Inc. (Novartis).</w:t>
      </w:r>
    </w:p>
    <w:p>
      <w:pPr>
        <w:spacing w:after="0" w:line="167"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color w:val="auto"/>
        </w:rPr>
        <w:t>We are not profitable and have incurred losses in each period since our inception. Our net loss was $31.6 million for the year ended December 31, 2016 and $43.6 million for the nine months ended September 30, 2017. As of December 31, 2016, we had an accumulated deficit of $53.6 million. We expect these losses to increase as we continue to incur significant research and development and other expenses related to our ongoing</w:t>
      </w:r>
    </w:p>
    <w:p>
      <w:pPr>
        <w:spacing w:after="0" w:line="2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84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2145"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80"/>
        <w:spacing w:after="0" w:line="312" w:lineRule="auto"/>
        <w:rPr>
          <w:sz w:val="20"/>
          <w:szCs w:val="20"/>
          <w:color w:val="auto"/>
        </w:rPr>
      </w:pPr>
      <w:r>
        <w:rPr>
          <w:rFonts w:ascii="Arial" w:cs="Arial" w:eastAsia="Arial" w:hAnsi="Arial"/>
          <w:sz w:val="16"/>
          <w:szCs w:val="16"/>
          <w:color w:val="auto"/>
        </w:rPr>
        <w:t>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 As of September 30, 2017, we had $222.3 million of cash and cash equivalents.</w:t>
      </w: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color w:val="auto"/>
        </w:rPr>
        <w:t xml:space="preserve">In September 2017, we presented data from our completed long-term, 52 week, durability mouse study, demonstrating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genome editing following a single, intravenous administration of CRISPR/Cas9. With a single dose, we achieved and maintained an approximately 97 percent reduction in serum TTR protein levels through 12 months. This TTR reduction corresponded to approximately 70 percent editing at the target DNA site in the liver. This study confirmed that our lipid nanoparticle (LNP) system is transiently present with 99 percent clearance of mRNA within 10 hours and of single guide RNA (sgRNA) within 72 hours in the liver. The treatment was well-tolerated throughout the 52-week study. These mouse durability results followed our presentation in August 2017 of initial data from rat studies demonstrating in vivo genome editing after a single, intravenous administration of CRISPR/Cas9. In our August 2017 presentation, we reported that, using our LNP system in rats, we had observed up to 91 percent reduction in serum TTR protein levels and up to 66 percent editing at the target DNA site in the subject animals.</w:t>
      </w:r>
    </w:p>
    <w:p>
      <w:pPr>
        <w:spacing w:after="0" w:line="166" w:lineRule="exact"/>
        <w:rPr>
          <w:sz w:val="20"/>
          <w:szCs w:val="20"/>
          <w:color w:val="auto"/>
        </w:rPr>
      </w:pPr>
    </w:p>
    <w:p>
      <w:pPr>
        <w:ind w:left="380" w:right="120" w:firstLine="426"/>
        <w:spacing w:after="0" w:line="272" w:lineRule="auto"/>
        <w:rPr>
          <w:sz w:val="20"/>
          <w:szCs w:val="20"/>
          <w:color w:val="auto"/>
        </w:rPr>
      </w:pPr>
      <w:r>
        <w:rPr>
          <w:rFonts w:ascii="Arial" w:cs="Arial" w:eastAsia="Arial" w:hAnsi="Arial"/>
          <w:sz w:val="17"/>
          <w:szCs w:val="17"/>
          <w:color w:val="auto"/>
        </w:rPr>
        <w:t xml:space="preserve">In October 2017, we released interim top-line data regarding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non-human primate (NHP) exploratory pre-clinical studies. Specifically, based on preliminary studies currently at varying points of progress, liver genome editing rates using CRISPR/Cas9 delivered via our proprietary LNP system have ranged from 0.10 percent up to 32.0 percent after a single dose with various exploratory guide RNAs (gRNA), LNP formulations and dosing regimens. In NHPs redosed with a subsequent application of our LNP formulations, we observed further editing to the levels achieved after a single dose, with multiple animals achieving a total of over 20 percent liver genome editing. We are, to our knowledge, the first company to demonstrate, in NHPs, dose-dependent CRISPR/Cas9 liver editing, CRISPR/Cas9 editing using LNPs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CRISPR/Cas9 editing at a disease-causing target in NHP livers.</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These NHP results were similar to the results we observed in our initial rodent studies. We are conducting further optimization of our delivery system and proceeding to human guide selection. We expect to achieve higher levels of editing and reductions in serum levels of TTR protein as we achieved when we optimized the delivery system and CRISPR/Cas9 cargo used in our rodent models. We expect to designate a development candidate for a human therapeutic as soon as the first quarter of 2018.</w:t>
      </w:r>
    </w:p>
    <w:p>
      <w:pPr>
        <w:spacing w:after="0" w:line="187"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Our proprietary delivery system has also been well-tolerated with both NHP-specific gRNA and exploratory human cross-reactive gRNAs, as assessed by gross observation of the animals, clinical chemistry, hematology, and cytokine and complement levels in single and repeat dose experiments to date. We are also encouraged by the reduction in serum TTR protein levels shown to date in animals with the highest levels of editing. We are conducting additional studies in multiple animal models to maximize editing rates through repeat dosing and formulation optimization.</w:t>
      </w:r>
    </w:p>
    <w:p>
      <w:pPr>
        <w:spacing w:after="0" w:line="188"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 xml:space="preserve">In October 2017, we presented data from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mouse study showing, after a single intracerebral injection, delivery to the brain of one of our proprietary LNP formulations as demonstrated by the expression of tdTomato protein. Additionally, we presented data from another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mouse study showing gene editing in brain tissue following single intracerebral injections of several proprietary LNP formulations. Editing was assessed under various dosing regimens with six different proprietary LNP formulations following a single intracerebral injection targeting the striatum and cerebellum. Under these various conditions, editing levels from less than 1% up to 28% were achieved in the striatal and cerebellar tissue. The injections were well tolerated and the mice did not display any behavioral changes.</w:t>
      </w:r>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834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2834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80" w:right="80" w:firstLine="426"/>
        <w:spacing w:after="0" w:line="297" w:lineRule="auto"/>
        <w:rPr>
          <w:sz w:val="20"/>
          <w:szCs w:val="20"/>
          <w:color w:val="auto"/>
        </w:rPr>
      </w:pPr>
      <w:r>
        <w:rPr>
          <w:rFonts w:ascii="Arial" w:cs="Arial" w:eastAsia="Arial" w:hAnsi="Arial"/>
          <w:sz w:val="16"/>
          <w:szCs w:val="16"/>
          <w:color w:val="auto"/>
        </w:rPr>
        <w:t>We were incorporated under the laws of the state of Delaware in May 2014 under the name AZRN, Inc. Our principal executive offices are located at 40 Erie Street Suite 130, Cambridge, Massachusetts 02139. Our telephone number is (857) 285-6200, and our website is located at www.intelliatx.com. No portion of our website is incorporated by reference into this prospectus. We do not incorporate the information on or accessible through our website into this prospectus, and you should not consider any information on, or that can be accessed through, our website as part of this prospectus. Our common stock trades on The Nasdaq Global Market under the symbol “NTLA”.</w:t>
      </w:r>
    </w:p>
    <w:p>
      <w:pPr>
        <w:spacing w:after="0" w:line="158"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We would cease to be an emerging growth company on the date that is the earliest of: (i) the last day of the fiscal year in which we have total annual gross revenues of $1.07 billion or more; (ii) December 31, 2021; (iii) the date on which we have issued more than $1.0 billion in nonconvertible debt during the previous three years; or (iv) the date on which we are deemed to be a large accelerated filer under the rules of the SEC.</w:t>
      </w:r>
    </w:p>
    <w:p>
      <w:pPr>
        <w:spacing w:after="0" w:line="193"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such references should not be construed as any indicator that their respective owners will not assert, to the fullest extent under applicable law, their rights thereto.</w:t>
      </w:r>
    </w:p>
    <w:p>
      <w:pPr>
        <w:spacing w:after="0" w:line="2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240" w:top="459" w:right="7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44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744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00"/>
          </w:cols>
          <w:pgMar w:left="240" w:top="459" w:right="65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$150,000,000 of shares (or $172,500,000 of shares if the underwriters exercise their option to purchase additional shares in full).</w:t>
      </w:r>
    </w:p>
    <w:p>
      <w:pPr>
        <w:spacing w:after="0" w:line="197"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380"/>
        <w:spacing w:after="0"/>
        <w:rPr>
          <w:sz w:val="20"/>
          <w:szCs w:val="20"/>
          <w:color w:val="auto"/>
        </w:rPr>
      </w:pPr>
      <w:r>
        <w:rPr>
          <w:rFonts w:ascii="Arial" w:cs="Arial" w:eastAsia="Arial" w:hAnsi="Arial"/>
          <w:sz w:val="17"/>
          <w:szCs w:val="17"/>
          <w:color w:val="auto"/>
        </w:rPr>
        <w:t>Common stock to be outstanding immediately after this 40,905,317 shares (or 41,628,324 shares if the underwriters exercise their option to</w:t>
      </w:r>
    </w:p>
    <w:p>
      <w:pPr>
        <w:spacing w:after="0" w:line="35" w:lineRule="exact"/>
        <w:rPr>
          <w:sz w:val="20"/>
          <w:szCs w:val="20"/>
          <w:color w:val="auto"/>
        </w:rPr>
      </w:pPr>
    </w:p>
    <w:p>
      <w:pPr>
        <w:ind w:left="460"/>
        <w:spacing w:after="0"/>
        <w:tabs>
          <w:tab w:leader="none" w:pos="440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purchase additional shares in full), which is based on an aggregate offering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$150,000,000 of our common stock at an assumed public offering price of $31.12 per share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(the last reported sale price of our common stock on The Nasdaq Global Market on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October 31, 2017).</w:t>
      </w:r>
    </w:p>
    <w:p>
      <w:pPr>
        <w:sectPr>
          <w:pgSz w:w="11900" w:h="16838" w:orient="portrait"/>
          <w:cols w:equalWidth="0" w:num="1">
            <w:col w:w="11000"/>
          </w:cols>
          <w:pgMar w:left="240" w:top="459" w:right="659" w:bottom="1440" w:gutter="0" w:footer="0" w:header="0"/>
          <w:type w:val="continuous"/>
        </w:sect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an additional $22,500,000 of shares of our common stock from us.</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We estimate that the net proceeds to us from this offering, after deducting estimated underwriting discounts and commissions and estimated offering expenses payable by us, will be approximately $140.5 million, or approximately $161.7 million if the underwriters exercise their option to purchase additional shares from us in full, in each case, based on an assumed public offering price of $31.12 per share (the last reported sale price of our common stock on The Nasdaq Global Market on October 31, 2017). We intend to use the net proceeds from this offering for research and development and clinical development costs to support the advancement of our potential product candidates and the expansion of our research and development programs; working capital; capital expenditures; and other general corporate purposes. See the section entitled “Use of proceeds” on page S-53 of this prospectus supplement.</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40"/>
        <w:spacing w:after="0" w:line="302" w:lineRule="auto"/>
        <w:rPr>
          <w:sz w:val="20"/>
          <w:szCs w:val="20"/>
          <w:color w:val="auto"/>
        </w:rPr>
      </w:pPr>
      <w:r>
        <w:rPr>
          <w:rFonts w:ascii="Arial" w:cs="Arial" w:eastAsia="Arial" w:hAnsi="Arial"/>
          <w:sz w:val="16"/>
          <w:szCs w:val="16"/>
          <w:color w:val="auto"/>
        </w:rPr>
        <w:t>Investing in our common stock involves a high degree of risk. See “Risk Factors” beginning on page S-6 of this prospectus supplement, as well as those “Risk Factors” incorporated by reference into this prospectus supplement, for a discussion of factors you should consider carefully before deciding to purchase any shares of our common stock.</w:t>
      </w:r>
    </w:p>
    <w:p>
      <w:pPr>
        <w:spacing w:after="0" w:line="181"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NTLA</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39"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36,085,266 shares of our common stock outstanding as of September 30, 2017. The number of shares outstanding as of September 30, 2017 excludes:</w:t>
      </w:r>
    </w:p>
    <w:p>
      <w:pPr>
        <w:spacing w:after="0" w:line="76" w:lineRule="exact"/>
        <w:rPr>
          <w:sz w:val="20"/>
          <w:szCs w:val="20"/>
          <w:color w:val="auto"/>
        </w:rPr>
      </w:pPr>
    </w:p>
    <w:p>
      <w:pPr>
        <w:ind w:left="1000" w:right="560" w:hanging="195"/>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4,421,224 shares of common stock issuable upon the exercise of stock options outstanding as of September 30, 2017, at a weighted average exercise price of $10.34 per share;</w:t>
      </w:r>
    </w:p>
    <w:p>
      <w:pPr>
        <w:spacing w:after="0" w:line="75" w:lineRule="exact"/>
        <w:rPr>
          <w:rFonts w:ascii="Arial" w:cs="Arial" w:eastAsia="Arial" w:hAnsi="Arial"/>
          <w:sz w:val="18"/>
          <w:szCs w:val="18"/>
          <w:color w:val="auto"/>
        </w:rPr>
      </w:pPr>
    </w:p>
    <w:p>
      <w:pPr>
        <w:ind w:left="1000" w:right="180" w:hanging="195"/>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159,050 shares of common stock issuable upon the exercise of outstanding stock options granted subsequent to September 30, 2017, at a weighted average exercise price of $27.28 per share; and</w:t>
      </w:r>
    </w:p>
    <w:p>
      <w:pPr>
        <w:spacing w:after="0" w:line="75" w:lineRule="exact"/>
        <w:rPr>
          <w:rFonts w:ascii="Arial" w:cs="Arial" w:eastAsia="Arial" w:hAnsi="Arial"/>
          <w:sz w:val="18"/>
          <w:szCs w:val="18"/>
          <w:color w:val="auto"/>
        </w:rPr>
      </w:pPr>
    </w:p>
    <w:p>
      <w:pPr>
        <w:ind w:left="1000" w:right="220" w:hanging="195"/>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2,255,544 shares of common stock reserved for future issuance under our 2015 Amended and Restated Stock Option and Incentive Plan and our 2016 Employee Stock Purchase Plan as of September 30, 2017.</w:t>
      </w:r>
    </w:p>
    <w:p>
      <w:pPr>
        <w:spacing w:after="0" w:line="170" w:lineRule="exact"/>
        <w:rPr>
          <w:sz w:val="20"/>
          <w:szCs w:val="20"/>
          <w:color w:val="auto"/>
        </w:rPr>
      </w:pPr>
    </w:p>
    <w:p>
      <w:pPr>
        <w:ind w:left="380" w:right="480" w:firstLine="426"/>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no exercise by the underwriters of their option to purchase up to an additional $22,500,000 of shares of our common stock.</w:t>
      </w: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00"/>
          </w:cols>
          <w:pgMar w:left="240" w:top="459" w:right="6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 factors described below and the risk factors incorporated by reference to our Quarterly Report on Form 10-Q for the period ended September 30, 2017 and any subsequent Annual Reports on Form 10-K, Quarterly Reports on Form 10-Q or Current Reports on Form 8-K we file after the date of this prospectus supplement, and all other information contained or incorporated by reference into this prospectus supplement and the accompanying prospectus, including our financial statements and the related notes, as updated by our subsequent filings under the Securities Exchange Act of 1934, as amended (the “Exchange Act”) and in any free writing prospectus that we have authorized for use in connection with this offering before acquiring any of our common stock. These risks could have a material and adverse impact on our business, results of operations, financial condition and growth prospects, which may cause the trading price of our common stock to decline and you could lose all or part of your investment. The risks discussed below also include forward-looking statements and our actual results may differ substantially from those discussed in these forward-looking statements. See “Cautionary Note Regarding Forward-Looking Statements.”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This Offering</w:t>
      </w:r>
    </w:p>
    <w:p>
      <w:pPr>
        <w:spacing w:after="0" w:line="225" w:lineRule="exact"/>
        <w:rPr>
          <w:sz w:val="20"/>
          <w:szCs w:val="20"/>
          <w:color w:val="auto"/>
        </w:rPr>
      </w:pPr>
    </w:p>
    <w:p>
      <w:pPr>
        <w:ind w:left="200" w:right="420"/>
        <w:spacing w:after="0" w:line="282" w:lineRule="auto"/>
        <w:rPr>
          <w:sz w:val="20"/>
          <w:szCs w:val="20"/>
          <w:color w:val="auto"/>
        </w:rPr>
      </w:pPr>
      <w:r>
        <w:rPr>
          <w:rFonts w:ascii="Arial" w:cs="Arial" w:eastAsia="Arial" w:hAnsi="Arial"/>
          <w:sz w:val="18"/>
          <w:szCs w:val="18"/>
          <w:b w:val="1"/>
          <w:bCs w:val="1"/>
          <w:color w:val="auto"/>
        </w:rPr>
        <w:t>The price of our common stock historically has been volatile, which may affect the price at which you could sell any shares of our common stock.</w:t>
      </w:r>
    </w:p>
    <w:p>
      <w:pPr>
        <w:spacing w:after="0" w:line="5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market price for our common stock historically has been highly volatile and could continue to be subject to wide fluctuations in response to various factors. The market price for our common stock has varied between a high price of $33.34 on October 31, 2017 and a low price of $10.83 on February 15, 2017 in the twelve-month period ending on October 31, 2017.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w:t>
      </w:r>
    </w:p>
    <w:p>
      <w:pPr>
        <w:spacing w:after="0" w:line="64" w:lineRule="exact"/>
        <w:rPr>
          <w:sz w:val="20"/>
          <w:szCs w:val="20"/>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products or technologies;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preclinical studies or clinical trials of our product candidates or those of our competitors;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30" w:lineRule="exact"/>
        <w:rPr>
          <w:rFonts w:ascii="Arial" w:cs="Arial" w:eastAsia="Arial" w:hAnsi="Arial"/>
          <w:sz w:val="18"/>
          <w:szCs w:val="18"/>
          <w:color w:val="auto"/>
        </w:rPr>
      </w:pPr>
    </w:p>
    <w:p>
      <w:pPr>
        <w:ind w:left="860" w:right="34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companies trading in the stock market in general, and The Nasdaq Global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97" w:lineRule="exact"/>
        <w:rPr>
          <w:sz w:val="20"/>
          <w:szCs w:val="20"/>
          <w:color w:val="auto"/>
        </w:rPr>
      </w:pPr>
    </w:p>
    <w:p>
      <w:pPr>
        <w:ind w:left="200" w:right="340"/>
        <w:spacing w:after="0" w:line="282" w:lineRule="auto"/>
        <w:rPr>
          <w:sz w:val="20"/>
          <w:szCs w:val="20"/>
          <w:color w:val="auto"/>
        </w:rPr>
      </w:pPr>
      <w:r>
        <w:rPr>
          <w:rFonts w:ascii="Arial" w:cs="Arial" w:eastAsia="Arial" w:hAnsi="Arial"/>
          <w:sz w:val="18"/>
          <w:szCs w:val="18"/>
          <w:b w:val="1"/>
          <w:bCs w:val="1"/>
          <w:color w:val="auto"/>
        </w:rPr>
        <w:t>We will have broad discretion in the use of proceeds from this offering and may invest or spend the proceeds in ways with which you do not agree or in ways that ultimately may not increase the value of your investment.</w:t>
      </w:r>
    </w:p>
    <w:p>
      <w:pPr>
        <w:spacing w:after="0" w:line="58"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as well as our existing cash and cash equivalents, and you will be relying on the judgment of our management regarding such application. You will not have the opportunity, as part of your investment decision, to assess whether the proceeds from this offering and our existing cash or cash equivalents are being used effectively. Our management might not apply the net proceeds or our existing cash or cash equivalents in ways that ultimately increase the value of your investment. If we do not invest or apply the net proceeds from this offering or our existing cash or cash equivalents in ways that enhance stockholder value, we may fail to achieve expected financial results, which could cause our stock price to decline. Pending their use, we may invest the net proceeds from this offering in short-term, investment-grade, interest-bearing securities. These investments may not yield a favorable return to our stockholders.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If you purchase our common stock in this offering, you will incur immediate and substantial dilution in the book value of your shares.</w:t>
      </w:r>
    </w:p>
    <w:p>
      <w:pPr>
        <w:spacing w:after="0" w:line="13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pro forma book value per share of our tangible assets after subtracting our liabilities as of September 30, 2017. As a result, investors purchasing shares of common stock in this offering will incur immediate dilution of $23.39 per share based on an assumed public offering price of $31.12 per share, which was the last reported sale price of our common stock on The Nasdaq Global Market on October 31, 2017. For information on how the foregoing amounts were calculated, see “Dilution.”</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investors in this offering. To the extent outstanding options are exercised, you will incur further dilution. As a result of the dilution to investors purchasing shares in this offering, investors may receive significantly less than the purchase price paid in this offering, if anything, in the event of our liquidation.</w:t>
      </w:r>
    </w:p>
    <w:p>
      <w:pPr>
        <w:spacing w:after="0" w:line="291" w:lineRule="exact"/>
        <w:rPr>
          <w:sz w:val="20"/>
          <w:szCs w:val="20"/>
          <w:color w:val="auto"/>
        </w:rPr>
      </w:pPr>
    </w:p>
    <w:p>
      <w:pPr>
        <w:ind w:left="200" w:right="220"/>
        <w:spacing w:after="0" w:line="313"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IPO continue to hold a substantial number of shares of our common stock that many of them are now able to sell in the public market. Significant portions of these shares are held by a relatively small number of stockholders. Sales by our stockholders of a substantial number of shares, or the expectation that such sales may occur, could significantly reduce the market price of our common stock.</w:t>
      </w:r>
    </w:p>
    <w:p>
      <w:pPr>
        <w:spacing w:after="0" w:line="297"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stock and will be able to exert significant control over matters subject to stockholder approval.</w:t>
      </w:r>
    </w:p>
    <w:p>
      <w:pPr>
        <w:spacing w:after="0" w:line="58"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As of September 30, 2017, our executive officers, directors, five percent or greater stockholders and their affiliates beneficially own approximately 78.7% of our outstanding voting stock. These stockholders will have the ability to influence us through their ownership positions. These stockholders may be able to determine all matters requiring stockholder approval. For example, these stockholders, acting together, may be able to control elections of directors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62" w:lineRule="exact"/>
        <w:rPr>
          <w:sz w:val="20"/>
          <w:szCs w:val="20"/>
          <w:color w:val="auto"/>
        </w:rPr>
      </w:pPr>
    </w:p>
    <w:p>
      <w:pPr>
        <w:ind w:left="200" w:right="360"/>
        <w:spacing w:after="0" w:line="282" w:lineRule="auto"/>
        <w:rPr>
          <w:sz w:val="20"/>
          <w:szCs w:val="20"/>
          <w:color w:val="auto"/>
        </w:rPr>
      </w:pPr>
      <w:r>
        <w:rPr>
          <w:rFonts w:ascii="Arial" w:cs="Arial" w:eastAsia="Arial" w:hAnsi="Arial"/>
          <w:sz w:val="18"/>
          <w:szCs w:val="18"/>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5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Upon completion of this offering, based on our shares outstanding as of September 30, 2017 and an assumed public offering price of $31.12 per share, the last reported sale price of our common stock on The Nasdaq Global Market on October 31, 2017, we will have 40,905,317 shares of common stock outstanding, assuming no exercise of the underwriters’ option to purchase additional shares of common stock. Of these shares, approximately 5.2 million are subject to a contractual lock-up with the underwriters for this offering for a period of 60 days following this offering. These shares can be sold, subject to any applicable volume limitations under federal securities laws, after the earlier of the expiration of, or release from, the 60-day lock-up period. The balance of our outstanding shares of common stock, including any shares purchased in this offering, may be resold into the public market immediately without restriction, unless owned or purchased by our affiliates. Moreover, after this offering, some of the holders of our common stock will have the right, subject to specified conditions, to require us to file registration statements covering their shares or to include their shares in registration statements that we may file for ourselves or other stockholders.</w:t>
      </w:r>
    </w:p>
    <w:p>
      <w:pPr>
        <w:spacing w:after="0" w:line="18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of September 30, 2017, there were approximately 6,676,768 shares subject to outstanding options or that are otherwise issuable under our equity compensation plans, all of which shares we have registered under the Securities Act of 1933, as amended, on a registration statement on Form S-8. These shares can be freely sold in the public market upon issuance, subject to volume limitations applicable to affiliates and the lock-up agreements described above, to the extent applicable.</w:t>
      </w:r>
    </w:p>
    <w:p>
      <w:pPr>
        <w:spacing w:after="0" w:line="291" w:lineRule="exact"/>
        <w:rPr>
          <w:sz w:val="20"/>
          <w:szCs w:val="20"/>
          <w:color w:val="auto"/>
        </w:rPr>
      </w:pPr>
    </w:p>
    <w:p>
      <w:pPr>
        <w:ind w:left="200" w:right="30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our stock price and trading volume could decline.</w:t>
      </w:r>
    </w:p>
    <w:p>
      <w:pPr>
        <w:spacing w:after="0" w:line="5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Securities and industry analysts may not publish an adequate amount of research on the Company, which may negatively impact the trading price for our stock. In addition, if one or more of the analysts who cover us downgrade our stock or publish inaccurate or unfavorable research about our business, our stock price would likely decline. Further, if our operating results fail to meet the forecasts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of analysts, our stock price would likely decline. If one or more of these analysts cease coverage of the Company or fail to publish reports on us regularly, demand for our stock could decrease, which might cause our stock price and trading volume to decline.</w:t>
      </w:r>
    </w:p>
    <w:p>
      <w:pPr>
        <w:spacing w:after="0" w:line="275"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Because we do not anticipate paying any cash dividends on our capital stock in the foreseeable future, capital appreciation, if any, will be your sole source of gain.</w:t>
      </w:r>
    </w:p>
    <w:p>
      <w:pPr>
        <w:spacing w:after="0" w:line="58"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could be subject to securities class action litigation.</w:t>
      </w:r>
    </w:p>
    <w:p>
      <w:pPr>
        <w:spacing w:after="0" w:line="12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tax law may adversely affect us or our investors.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Business, Technology and Industry</w:t>
      </w:r>
    </w:p>
    <w:p>
      <w:pPr>
        <w:spacing w:after="0" w:line="225"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CRISPR/Cas9 genome editing technology is a novel technology that is not yet clinically validated for human therapeutic use. The approaches we are taking to discover and develop novel therapeutics using CRISPR/Cas9 systems are unproven and may never lead to marketable products. If we are unable to develop viable product candidates, achieve regulatory approval for any such product candidate or market and sell any product candidates, we may never achieve profitability.</w:t>
      </w:r>
    </w:p>
    <w:p>
      <w:pPr>
        <w:spacing w:after="0" w:line="7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We are focused on developing potentially curative medicines utilizing the CRISPR/Cas9 genome editing technology. Although there have been significant advances in the fields of gene therapy, which typically involves introducing a copy of a gene into a patient’s cell, and genome editing in recent years, CRISPR-based genome editing technologies are relatively new, and their therapeutic utility is largely unproven. The CRISPR/Cas9 technologies that we have licensed and that we intend to develop have not yet been clinically tested by us, nor are we aware of any clinical trials for safety or efficacy having been completed by third parties involving these technologies. The scientific evidence to support the feasibility of developing products based on these technologies is both preliminary and limited. Successful development of products by us will require solving a number of issues, including safely delivering a therapeutic into target cells within the human body or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setting, optimizing the efficiency and specificity of such products, and ensuring the therapeutic selectivity and efficacy of such products. There can be no assurance we will be successful in solving any or all of these issues.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principally concentrated our research efforts to date on bringing CRISPR/Cas9 therapeutics to the clinic for our initial indications, which we call our sentinel indications, and our future success is highly dependent on the successful development of CRISPR-based genome editing technologies, cellular delivery methods and therapeutic applications. Our sentinel indications are the principal focus of our initial development efforts, and we may decide to alter or abandon these programs as new data become available and we gain experience in developing CRISPR/Cas9-based therapeutics. We cannot be sure that our CRISPR/Cas9 technologies will yield satisfactory products that are safe and effective, scalable or profitable in our sentinel indications or any other indication we pursue.</w:t>
      </w:r>
    </w:p>
    <w:p>
      <w:pPr>
        <w:spacing w:after="0" w:line="193"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Public perception and related media coverage of potential therapy-related safety issues, including adoption of new therapeutics or novel approaches to treatment, as well as ethical concerns related specifically to genome editing and CRISPR/Cas9, may adversely influence the willingness of subjects to participate in clinical trials, or if any therapeutic is approved, of physicians and patients to subscribe to the novel treatment mechanics. Physicians, health care providers and third-party payors often are slow to adopt new products, technologies and treatment practices that require additional upfront costs and training. Physicians may not be willing to undergo training to adopt this novel and personalized therapy, may decide the therapy is too complex to adopt without appropriate training and may choose not to administer the therapy. In addition, responses by the U.S., state or foreign governments to negative public perception or ethical concerns may result in new legislation or regulations that could limit our ability to develop or commercialize any product candidates, obtain or maintain regulatory approval or otherwise achieve profitability. Based on these and other factors, health care providers and payors may decide that the benefits of this new therapy do not or will not outweigh its costs.</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Intellectual property owned by third parties relating to CRISPR/Cas9 or other related technologies necessary to develop, manufacture and commercialize CRISPR/Cas9 therapeutics—such as compositions of the products or components, methods of treatment, delivery technologies, chemical modifications and analytical and manufacturing methods—could adversely impact our ability to ultimately market and sell products. Currently, the Regents of the University of California and the University of Vienna (collectively, UC/Vienna) co-own with Dr. Emmanuelle Charpentier a worldwide patent portfolio, which covers methods of use and compositions relating to engineered CRISPR/Cas9 systems for, among other things, cleaving or editing</w:t>
      </w:r>
    </w:p>
    <w:p>
      <w:pPr>
        <w:spacing w:after="0" w:line="193"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DNA and altering gene product expression in various organisms, including eukaryotic cells, which to-date includes granted patents from the European Patent Office, the United Kingdom’s Intellectual Property Office, the German Patent and Trade Mark Office and Australia’s Intellectual Property agency and China’s Intellectual Property Office. We refer to this co-owned worldwide patent portfolio as the UC/Vienna/Charpentier patent family. Through our 2014 license agreement with Caribou, we sublicense the UC/Vienna rights to these patents for human therapeutic, prophylactic and palliative uses, including companion diagnostics, except for anti-fungal and anti-microbial uses. The Broad Institute, Massachusetts Institute of Technology, the President and Fellows of Harvard College and the Rockefeller University co-own patents and patent applications that also claim aspects of CRISPR/Cas9 systems to edit genes in eukaryotic cells, including human cells (collectively, the Broad Institute patent family). Because the respective owners of the UC/Vienna/Charpentier patent application and the Broad Institute patent family both allege owning intellectual property claiming aspects of CRISPR/Cas9 systems and methods to edit genes in eukaryotic cells, including human cells, our ability to market and sell CRISPR/Cas9-based human therapeutics may be impacted. In January 2016, the U.S. Patent Trial and Appeal Board (PTAB) initiated an interference proceeding to determine which set of intellectual property was invented first and, thus, entitled to the patents covering these inventions in the United States. On February 15, 2017, the PTAB dismissed the proceeding finding that the respective patent claims involved in the interference were distinct such that they did not meet the legal requirement to proceed with the interference. As a result of this proceeding’s dismissal, the PTAB did not make a decision regarding which party actually first invented the use of CRISPR/Cas9 systems and methods to edit genes in eukaryotic cells. In April 2017, UC/Vienna/Charpentier appealed to the U.S. Court of Appeals for the Federal Circuit seeking a review and reversal of the PTAB’s decision to terminate the interference and, on July 25, 2017, they filed their opening brief supporting their appeal. For additional information regarding the risks that may apply to our and our licensors’ intellectual property</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rights, see the section entitled “—Risks Related to Our Intellectual Property” appearing elsewhere in this prospectus supplement for more information.</w:t>
      </w:r>
    </w:p>
    <w:p>
      <w:pPr>
        <w:spacing w:after="0" w:line="352" w:lineRule="exact"/>
        <w:rPr>
          <w:sz w:val="20"/>
          <w:szCs w:val="20"/>
          <w:color w:val="auto"/>
        </w:rPr>
      </w:pPr>
    </w:p>
    <w:p>
      <w:pPr>
        <w:ind w:left="200" w:right="20"/>
        <w:spacing w:after="0" w:line="303" w:lineRule="auto"/>
        <w:rPr>
          <w:sz w:val="20"/>
          <w:szCs w:val="20"/>
          <w:color w:val="auto"/>
        </w:rPr>
      </w:pPr>
      <w:r>
        <w:rPr>
          <w:rFonts w:ascii="Arial" w:cs="Arial" w:eastAsia="Arial" w:hAnsi="Arial"/>
          <w:sz w:val="16"/>
          <w:szCs w:val="16"/>
          <w:b w:val="1"/>
          <w:bCs w:val="1"/>
          <w:color w:val="auto"/>
        </w:rPr>
        <w:t>Our ability to generate product revenue is dependent on the success of our application of CRISPR/Cas9 technology for human therapeutic use, which is at an early stage of development and will require significant additional discovery efforts, preclinical testing and clinical studies, as well as applicable regulatory guidance for preclinical testing and clinical studies from the U.S. Food and Drug Administration (FDA) and other regulatory authorities, before we can seek regulatory approval and begin commercial sales of any potential product candidates.</w:t>
      </w:r>
    </w:p>
    <w:p>
      <w:pPr>
        <w:spacing w:after="0" w:line="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ability to generate product revenue is highly dependent on our ability to obtain regulatory approval of and successfully commercialize one or more of our product candidates. Any product candidates we discover will require preclinical, clinical and regulatory review and approval in each jurisdiction in which we intend to market the products, substantial investment, access to sufficient commercial manufacturing capacity and significant marketing efforts before we can generate any revenue from product sales. Before obtaining marketing approval from regulatory authorities for the sale of a product candidate, we must conduct extensive clinical trials to demonstrate the safety, purity and potency, as well as the effectiveness of the product candidates in humans. We cannot be certain that any of our product candidates will be successful in clinical trials and even if successful, they may not receive regulatory approval.</w:t>
      </w:r>
    </w:p>
    <w:p>
      <w:pPr>
        <w:spacing w:after="0" w:line="18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approach to developing therapies for genetic and viral-based diseases centers on using the CRISPR/Cas9 technology to introduce or remove genetic information to treat various disorders. Because this is a new therapeutic approach, discovering, developing and commercializing our product candidates subject us to a number of challenges, including:</w:t>
      </w:r>
    </w:p>
    <w:p>
      <w:pPr>
        <w:spacing w:after="0" w:line="87" w:lineRule="exact"/>
        <w:rPr>
          <w:sz w:val="20"/>
          <w:szCs w:val="20"/>
          <w:color w:val="auto"/>
        </w:rPr>
      </w:pPr>
    </w:p>
    <w:p>
      <w:pPr>
        <w:ind w:left="860" w:right="740" w:hanging="224"/>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very limited or no experience with the clinical development of CRISPR/Cas9 therapeutics;</w:t>
      </w:r>
    </w:p>
    <w:p>
      <w:pPr>
        <w:spacing w:after="0" w:line="75" w:lineRule="exact"/>
        <w:rPr>
          <w:rFonts w:ascii="Arial" w:cs="Arial" w:eastAsia="Arial" w:hAnsi="Arial"/>
          <w:sz w:val="18"/>
          <w:szCs w:val="18"/>
          <w:color w:val="auto"/>
        </w:rPr>
      </w:pPr>
    </w:p>
    <w:p>
      <w:pPr>
        <w:ind w:left="860" w:right="220" w:hanging="224"/>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seeking and obtaining regulatory approval from the FDA and other regulatory authorities in light of no specific guidance regarding potential regulatory pathways for this category of therapeutics, including preclinical and clinical requirements for approval of an investigational new drug application (IND);</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benefits and side effect profile of each of our product candidates;</w:t>
      </w:r>
    </w:p>
    <w:p>
      <w:pPr>
        <w:spacing w:after="0" w:line="130" w:lineRule="exact"/>
        <w:rPr>
          <w:rFonts w:ascii="Arial" w:cs="Arial" w:eastAsia="Arial" w:hAnsi="Arial"/>
          <w:sz w:val="18"/>
          <w:szCs w:val="18"/>
          <w:color w:val="auto"/>
        </w:rPr>
      </w:pPr>
    </w:p>
    <w:p>
      <w:pPr>
        <w:ind w:left="860" w:right="200" w:hanging="224"/>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products, including long-term follow-up for all patients who receive treatment with any of our product candidates;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sourcing clinical and, if approved, commercial supplies for the materials used to manufacture and process our product candidates;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developing a manufacturing process and distribution network with a cost of goods that allows for an attractive return on investment; and</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establishing sales and marketing capabilities in anticipation of and after obtaining any regulatory approval to gain market acceptance.</w:t>
      </w:r>
    </w:p>
    <w:p>
      <w:pPr>
        <w:spacing w:after="0" w:line="23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Additionally, because our technology involves gene editing across multiple cell and tissue types, we are subject to many of the challenges and risks that gene therapies face, including:</w:t>
      </w:r>
    </w:p>
    <w:p>
      <w:pPr>
        <w:spacing w:after="0" w:line="76" w:lineRule="exact"/>
        <w:rPr>
          <w:sz w:val="20"/>
          <w:szCs w:val="20"/>
          <w:color w:val="auto"/>
        </w:rPr>
      </w:pPr>
    </w:p>
    <w:p>
      <w:pPr>
        <w:ind w:left="860" w:right="20" w:hanging="224"/>
        <w:spacing w:after="0" w:line="264"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guidance regarding the requirements governing gene and cell therapy products have changed frequently and may continue to change in the future. To date, no products that involve the genetic modification of patient cells have been approved in the United States and a limited number have been approved in the European Union (EU);</w:t>
      </w:r>
    </w:p>
    <w:p>
      <w:pPr>
        <w:spacing w:after="0" w:line="86" w:lineRule="exact"/>
        <w:rPr>
          <w:rFonts w:ascii="Arial" w:cs="Arial" w:eastAsia="Arial" w:hAnsi="Arial"/>
          <w:sz w:val="18"/>
          <w:szCs w:val="18"/>
          <w:color w:val="auto"/>
        </w:rPr>
      </w:pPr>
    </w:p>
    <w:p>
      <w:pPr>
        <w:ind w:left="860" w:right="240" w:hanging="224"/>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improper insertion of a gene sequence into a patient’s chromosome could lead to cancer, other aberrantly functioning cells or other diseases, including death;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2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recommends a follow-up observation period of 15 years or longer for all patients who receive treatment using gene therapies, and we may need to adopt such an observation period for our product candidates; and</w:t>
      </w:r>
    </w:p>
    <w:p>
      <w:pPr>
        <w:spacing w:after="0" w:line="75" w:lineRule="exact"/>
        <w:rPr>
          <w:rFonts w:ascii="Arial" w:cs="Arial" w:eastAsia="Arial" w:hAnsi="Arial"/>
          <w:sz w:val="18"/>
          <w:szCs w:val="18"/>
          <w:color w:val="auto"/>
        </w:rPr>
      </w:pPr>
    </w:p>
    <w:p>
      <w:pPr>
        <w:jc w:val="both"/>
        <w:ind w:left="860" w:right="200" w:hanging="224"/>
        <w:spacing w:after="0" w:line="25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trials using genetically modified cells conducted at institutions that receive funding for recombinant DNA research from the National Institutes of Health (NIH), are subject to review by the RAC. Although the FDA decides whether individual protocols may proceed, the NIH Recombinant DNA Advisory Committee (RAC) review process can impede the initiation of a clinical trial, even if the FDA has reviewed the study and it has become effective under an IND.</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To date, although human clinical trials for other genome editing-based therapeutics have been authorized by the FDA, neither we nor any other company has received regulatory approval in the U.S. or EU to commence human clinical trials utilizing CRISPR/Cas9 or to market therapeutics utilizing any genome editing technology, including CRISPR/Cas9. There is no certainty that the FDA or European Medicines Agency (EMA) will apply to CRISPR/Cas9 product candidates the same regulatory pathway and requirements it is applying to other genome editing therapeutics; and the FDA and other regulatory authorities have not yet provided written guidance regarding preclinical or clinical studies or regulatory approval pathways specific for gene editing therapeutics. In addition, if any product candidates encounter safety or efficacy problems, developmental delays, regulatory issues or other problems, our development plans and business could be significantly harmed. Further, competitors that are developing products with similar technology may experience problems with their product candidates or programs that could in turn cause us to identify problems with our product candidates and programs that would potentially harm our business.</w:t>
      </w:r>
    </w:p>
    <w:p>
      <w:pPr>
        <w:spacing w:after="0" w:line="18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Further, significant uncertainty exists regarding the future scope and effect of the FDA’s regulatory framework, in particular relating to the review and approval of human therapeutic products because the new U.S. administration and federal legislators have publicly declared their intention to significantly modify the current legal framework governing the FDA. Any such changes to the FDA requirements could impact our ability to obtain approval for our products or sell them profitably. In addition, in the EU, the decision of the United Kingdom to withdraw from the European Union may require the EMA to relocate to another country and recruit and retain new personnel to review and approve our submissions for regulatory approval in Europe. The EMA’s relocation could result in delays and other changes that may impact the timing and our ability to obtain approval for our products. Also, the United Kingdom may enact legislation related to the approval and oversight of human therapeutics in that nation. Until any such legislation is enacted, we will be uncertain as to its effects on our business, including our ability to seek and obtain approval for our products in the United Kingdom.</w:t>
      </w:r>
    </w:p>
    <w:p>
      <w:pPr>
        <w:spacing w:after="0" w:line="270" w:lineRule="exact"/>
        <w:rPr>
          <w:sz w:val="20"/>
          <w:szCs w:val="20"/>
          <w:color w:val="auto"/>
        </w:rPr>
      </w:pPr>
    </w:p>
    <w:p>
      <w:pPr>
        <w:ind w:left="200" w:right="60"/>
        <w:spacing w:after="0" w:line="282" w:lineRule="auto"/>
        <w:rPr>
          <w:sz w:val="20"/>
          <w:szCs w:val="20"/>
          <w:color w:val="auto"/>
        </w:rPr>
      </w:pPr>
      <w:r>
        <w:rPr>
          <w:rFonts w:ascii="Arial" w:cs="Arial" w:eastAsia="Arial" w:hAnsi="Arial"/>
          <w:sz w:val="18"/>
          <w:szCs w:val="18"/>
          <w:b w:val="1"/>
          <w:bCs w:val="1"/>
          <w:color w:val="auto"/>
        </w:rPr>
        <w:t>Even if we obtain regulatory approval of any product candidates, such candidates may not gain market acceptance among physicians, patients, hospitals, third-party payors and others in the medical community.</w:t>
      </w:r>
    </w:p>
    <w:p>
      <w:pPr>
        <w:spacing w:after="0" w:line="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use of the CRISPR/Cas9 system as a framework for developing gene editing therapies is a recent development and may not become broadly accepted by physicians, patients, hospitals, third-party payors and others in the medical community. A variety of factors will influence whether our product candidates are accepted in the market, including, for example:</w:t>
      </w:r>
    </w:p>
    <w:p>
      <w:pPr>
        <w:spacing w:after="0" w:line="87" w:lineRule="exact"/>
        <w:rPr>
          <w:sz w:val="20"/>
          <w:szCs w:val="20"/>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incidence and severity of any side effects, including off-target editing or immunogenicity;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or existence of competitive products;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upfront costs or training required for health care providers to administer our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ability to access physicians and medical centers capable of delivering any therapies that we develop;</w:t>
      </w:r>
    </w:p>
    <w:p>
      <w:pPr>
        <w:spacing w:after="0" w:line="130" w:lineRule="exact"/>
        <w:rPr>
          <w:rFonts w:ascii="Arial" w:cs="Arial" w:eastAsia="Arial" w:hAnsi="Arial"/>
          <w:sz w:val="18"/>
          <w:szCs w:val="18"/>
          <w:color w:val="auto"/>
        </w:rPr>
      </w:pPr>
    </w:p>
    <w:p>
      <w:pPr>
        <w:ind w:left="860" w:right="820" w:hanging="2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patients to pay out of pocket in the absence of coverage and reimbursement by third-party payors and government authorities;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130"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adverse events for any products developed, or negative interactions with regulatory agencies, by us or others in the gene therapy and gene editing fields;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distribution support.</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 In addition, adverse publicity due to the ethical and social controversies surrounding the therapeutic use of CRISPR/Cas9 or other therapeutics mediums, such as viral vectors that we may use in our clinical trials may limit market acceptance of our product candidates. If our product candidates are approved but fail to achieve market acceptance among physicians, patients, hospitals, third-party payors or others in the medical community, we will not be able to generate significant revenue.</w:t>
      </w:r>
    </w:p>
    <w:p>
      <w:pPr>
        <w:spacing w:after="0" w:line="297"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b w:val="1"/>
          <w:bCs w:val="1"/>
          <w:color w:val="auto"/>
        </w:rPr>
        <w:t>Negative public opinion and increased regulatory scrutiny of CRISPR/Cas9, gene editing or gene therapy generally may damage public perception of the safety of any product candidates that we develop and adversely affect our ability to conduct our business or obtain regulatory approvals for such product candidates.</w:t>
      </w:r>
    </w:p>
    <w:p>
      <w:pPr>
        <w:spacing w:after="0" w:line="7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Gene therapy in general, and gene editing in particular, remain novel technologies, with the first gene therapy product being approved in August 2017 in the United States and only a limited number of gene therapy products approved to date in the EU. Public perception may be influenced by claims that gene therapy or gene editing, including the use of CRISPR/Cas9, is unsafe or unethical, and gene therapy or gene editing may not gain the acceptance of the public or the medical community. In particular, our success will depend upon physicians who specialize in the treatment of diseases targeted by our product candidates prescribing treatments that involve the use of our product candidates in lieu of, or in addition to, existing treatments with which they are more familiar and for which greater clinical data may be available. In addition, responses by the U.S., state or foreign governments to negative public perception or ethical concerns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and the FDA recently initiated a clinical hold on a CAR-T cell therapy clinical trial due to patient deaths, and the company developing the therapy ultimately decided to</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stop the program. Serious adverse events in our clinical trials, or other clinical trials involving gene therapy or gene editing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w:t>
      </w:r>
    </w:p>
    <w:p>
      <w:pPr>
        <w:spacing w:after="0" w:line="276" w:lineRule="exact"/>
        <w:rPr>
          <w:sz w:val="20"/>
          <w:szCs w:val="20"/>
          <w:color w:val="auto"/>
        </w:rPr>
      </w:pPr>
    </w:p>
    <w:p>
      <w:pPr>
        <w:ind w:left="200" w:right="160"/>
        <w:spacing w:after="0" w:line="282" w:lineRule="auto"/>
        <w:rPr>
          <w:sz w:val="20"/>
          <w:szCs w:val="20"/>
          <w:color w:val="auto"/>
        </w:rPr>
      </w:pPr>
      <w:r>
        <w:rPr>
          <w:rFonts w:ascii="Arial" w:cs="Arial" w:eastAsia="Arial" w:hAnsi="Arial"/>
          <w:sz w:val="18"/>
          <w:szCs w:val="18"/>
          <w:b w:val="1"/>
          <w:bCs w:val="1"/>
          <w:color w:val="auto"/>
        </w:rPr>
        <w:t>Coverage and reimbursement may be limited or unavailable in certain market segments for our product candidates, if approved, which could make it difficult for us to sell any product candidates or therapies profitably.</w:t>
      </w:r>
    </w:p>
    <w:p>
      <w:pPr>
        <w:spacing w:after="0" w:line="5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success of our product candidates, if approved, depends on the availability of adequate coverage and reimbursement from third-party payors, including government agencies. In addition, 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7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7"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gene-modifying products.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 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17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cost containment initiatives and additional legislative changes.</w:t>
      </w:r>
    </w:p>
    <w:p>
      <w:pPr>
        <w:spacing w:after="0" w:line="16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pharmaceutical products, including biologics,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282" w:lineRule="exact"/>
        <w:rPr>
          <w:sz w:val="20"/>
          <w:szCs w:val="20"/>
          <w:color w:val="auto"/>
        </w:rPr>
      </w:pPr>
    </w:p>
    <w:p>
      <w:pPr>
        <w:ind w:left="200"/>
        <w:spacing w:after="0" w:line="258" w:lineRule="auto"/>
        <w:rPr>
          <w:sz w:val="20"/>
          <w:szCs w:val="20"/>
          <w:color w:val="auto"/>
        </w:rPr>
      </w:pPr>
      <w:r>
        <w:rPr>
          <w:rFonts w:ascii="Arial" w:cs="Arial" w:eastAsia="Arial" w:hAnsi="Arial"/>
          <w:sz w:val="18"/>
          <w:szCs w:val="18"/>
          <w:b w:val="1"/>
          <w:bCs w:val="1"/>
          <w:color w:val="auto"/>
        </w:rPr>
        <w:t>Research and development of biopharmaceutical products is inherently risky. We may not be successful in our efforts to use and enhance our gene editing technology to create a pipeline of product candidates, obtain regulatory approval and develop commercially successful products, or we may expend our limited resources on programs that do not yield a successful product candidate and fail to capitalize on potential product candidates or diseases that may be more profitable or for which there is a greater likelihood of success. If we fail to develop product candidates, our commercial opportunity, if any, will be limited.</w:t>
      </w:r>
    </w:p>
    <w:p>
      <w:pPr>
        <w:spacing w:after="0" w:line="8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do not currently have any product candidates. We are at an early stage of development and our technology and approach has not yet led, and may never lead, to any product candidate or any approved or commercially successful products. Even if we are successful in building our pipeline of product candidates, completing clinical development, obtaining regulatory approvals and commercializing product candidates will require substantial additional funding and are prone to the risks of failure inherent in therapeutic product development. Investment in biopharmaceutical product development involves significant risk that any potential product candidate will fail to demonstrate adequate efficacy or an acceptable safety profile, gain regulatory approval, or become commercially viable.</w:t>
      </w:r>
    </w:p>
    <w:p>
      <w:pPr>
        <w:spacing w:after="0" w:line="19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cannot provide any assurance that we will be able to successfully advance any product candidates that we discover through the research process. Our research programs may initially show promise, yet fail to yield product candidates for clinical development or commercialization for many reasons, including the following:</w:t>
      </w:r>
    </w:p>
    <w:p>
      <w:pPr>
        <w:spacing w:after="0" w:line="87" w:lineRule="exact"/>
        <w:rPr>
          <w:sz w:val="20"/>
          <w:szCs w:val="20"/>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technology and approach may not be successful in identifying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animal or other non-human models for the targeted disease may not be appropriate or available to conduct preclinical testing;</w:t>
      </w:r>
    </w:p>
    <w:p>
      <w:pPr>
        <w:spacing w:after="0" w:line="130"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testing in preclinical models may not be predictive of human clinical testing results because species have distinct genomic sequences that may require the use of species-specific guides and reagents;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30" w:lineRule="exact"/>
        <w:rPr>
          <w:rFonts w:ascii="Arial" w:cs="Arial" w:eastAsia="Arial" w:hAnsi="Arial"/>
          <w:sz w:val="18"/>
          <w:szCs w:val="18"/>
          <w:color w:val="auto"/>
        </w:rPr>
      </w:pPr>
    </w:p>
    <w:p>
      <w:pPr>
        <w:ind w:left="860" w:right="6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planned risk mitigation strategy for selecting our sentinel indications may fail or we may not be able to efficiently apply learnings from our initial development programs to future development programs;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optimize the therapeutic efficiency, specificity, or selectivity of our future product candidates;</w:t>
      </w:r>
    </w:p>
    <w:p>
      <w:pPr>
        <w:spacing w:after="0" w:line="130" w:lineRule="exact"/>
        <w:rPr>
          <w:rFonts w:ascii="Arial" w:cs="Arial" w:eastAsia="Arial" w:hAnsi="Arial"/>
          <w:sz w:val="18"/>
          <w:szCs w:val="18"/>
          <w:color w:val="auto"/>
        </w:rPr>
      </w:pPr>
    </w:p>
    <w:p>
      <w:pPr>
        <w:ind w:left="860" w:right="74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therapeutic delivery systems may fail so that even a product candidate with therapeutic activity might not demonstrate a clinically meaningful therapeutic effect;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520" w:hanging="224"/>
        <w:spacing w:after="0" w:line="342"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product candidate may not demonstrate in patients the biological, chemical and pharmacological properties identified in laboratory and non-clinical studies, or they may interact with human biological systems in unforeseen, ineffective or even harmful ways;</w:t>
      </w:r>
    </w:p>
    <w:p>
      <w:pPr>
        <w:spacing w:after="0" w:line="29" w:lineRule="exact"/>
        <w:rPr>
          <w:rFonts w:ascii="Arial" w:cs="Arial" w:eastAsia="Arial" w:hAnsi="Arial"/>
          <w:sz w:val="16"/>
          <w:szCs w:val="16"/>
          <w:color w:val="auto"/>
        </w:rPr>
      </w:pPr>
    </w:p>
    <w:p>
      <w:pPr>
        <w:ind w:left="86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therapeutic effect of a product candidate may not be permanent and may diminish over time;</w:t>
      </w:r>
    </w:p>
    <w:p>
      <w:pPr>
        <w:spacing w:after="0" w:line="130" w:lineRule="exact"/>
        <w:rPr>
          <w:rFonts w:ascii="Arial" w:cs="Arial" w:eastAsia="Arial" w:hAnsi="Arial"/>
          <w:sz w:val="18"/>
          <w:szCs w:val="18"/>
          <w:color w:val="auto"/>
        </w:rPr>
      </w:pPr>
    </w:p>
    <w:p>
      <w:pPr>
        <w:ind w:left="860" w:right="42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single treatment course may not be sufficient for a cure or therapeutic benefit; it may take several treatment courses for the product to be effective;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well-defined and achievable pathway to regulatory approval may never materialize for a specific product candidate;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30" w:lineRule="exact"/>
        <w:rPr>
          <w:rFonts w:ascii="Arial" w:cs="Arial" w:eastAsia="Arial" w:hAnsi="Arial"/>
          <w:sz w:val="18"/>
          <w:szCs w:val="18"/>
          <w:color w:val="auto"/>
        </w:rPr>
      </w:pPr>
    </w:p>
    <w:p>
      <w:pPr>
        <w:ind w:left="860" w:right="22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third-party or other exclusive rights or may not receive desired regulatory exclusivity, and we may be unable to maintain, expand or protect our intellectual property rights;</w:t>
      </w:r>
    </w:p>
    <w:p>
      <w:pPr>
        <w:spacing w:after="0" w:line="75" w:lineRule="exact"/>
        <w:rPr>
          <w:rFonts w:ascii="Arial" w:cs="Arial" w:eastAsia="Arial" w:hAnsi="Arial"/>
          <w:sz w:val="18"/>
          <w:szCs w:val="18"/>
          <w:color w:val="auto"/>
        </w:rPr>
      </w:pPr>
    </w:p>
    <w:p>
      <w:pPr>
        <w:ind w:left="860" w:right="28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30" w:lineRule="exact"/>
        <w:rPr>
          <w:rFonts w:ascii="Arial" w:cs="Arial" w:eastAsia="Arial" w:hAnsi="Arial"/>
          <w:sz w:val="18"/>
          <w:szCs w:val="18"/>
          <w:color w:val="auto"/>
        </w:rPr>
      </w:pPr>
    </w:p>
    <w:p>
      <w:pPr>
        <w:ind w:left="860" w:right="96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successfully maintain existing collaborations or licensing arrangements or enter into new ones throughout the development process as appropriate; and</w:t>
      </w:r>
    </w:p>
    <w:p>
      <w:pPr>
        <w:spacing w:after="0" w:line="75" w:lineRule="exact"/>
        <w:rPr>
          <w:rFonts w:ascii="Arial" w:cs="Arial" w:eastAsia="Arial" w:hAnsi="Arial"/>
          <w:sz w:val="18"/>
          <w:szCs w:val="18"/>
          <w:color w:val="auto"/>
        </w:rPr>
      </w:pPr>
    </w:p>
    <w:p>
      <w:pPr>
        <w:ind w:left="860" w:right="28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physicians, patients, hospitals, third-party payors and others in the medical community.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product candidates, which would have a material adverse effect on our business and could potentially cause us to cease operations.</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Because we have limited financial and managerial resources, we principally focus on research programs that we identify as our sentinel indications.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For additional information regarding the factors that will affect our ability to achieve revenue from product sales, see the risk factor entitled “We have never generated any revenue from product sales and our ability to generate revenue from product sales and become profitable depends significantly on our success in a number of factors.”</w:t>
      </w:r>
    </w:p>
    <w:p>
      <w:pPr>
        <w:spacing w:after="0" w:line="17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we do not successfully develop and commercialize product candidates based upon our approach, we will not be able to obtain product revenue in future periods, which likely would result in significant harm to our financial position and adversely affect our stock price. Further, our current focus on CRISPR/Cas9 technology for developing products as opposed to multiple, more proven technologies for product development increases the risk associated with our business. If we are not successful in developing a product candidate using CRISPR/Cas9 technology, we may not be able to successfully implement an alternative product development strategy.</w:t>
      </w:r>
    </w:p>
    <w:p>
      <w:pPr>
        <w:spacing w:after="0" w:line="292"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Results, including positive results, from our initial pre-clinical studies are not necessarily predictive of our other ongoing and future pre-clinical and clinical studies, and they do not guarantee or indicate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60"/>
        <w:spacing w:after="0" w:line="266" w:lineRule="auto"/>
        <w:rPr>
          <w:sz w:val="20"/>
          <w:szCs w:val="20"/>
          <w:color w:val="auto"/>
        </w:rPr>
      </w:pPr>
      <w:r>
        <w:rPr>
          <w:rFonts w:ascii="Arial" w:cs="Arial" w:eastAsia="Arial" w:hAnsi="Arial"/>
          <w:sz w:val="18"/>
          <w:szCs w:val="18"/>
          <w:b w:val="1"/>
          <w:bCs w:val="1"/>
          <w:color w:val="auto"/>
        </w:rPr>
        <w:t>likelihood of approval of any potential product candidate by the FDA, EMA or any other regulatory agency. If we cannot replicate the positive results from any of our pre-clinical or clinical studies, we may be unable to successfully develop, obtain regulatory approval for and commercialize any potential product candidate.</w:t>
      </w:r>
    </w:p>
    <w:p>
      <w:pPr>
        <w:spacing w:after="0" w:line="7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There is a high failure rate for product candidates progressing through pre-clinical and clinical studies. Even if we are able to successfully complete our ongoing and future pre-clinical studies for any potential product candidate, we may not be able to replicate any positive results from these or any other studies in any of our future pre-clinical and clinical trials, and they do not guarantee approval of any potential product candidate by the FDA, EMA or any other necessary regulatory authorities in a timely manner or at all. Companies in the pharmaceutical and biotechnology industries have commonly suffered significant setbacks in clinical studies after achieving positive results in early stage development, and we cannot be certain that we will not face similar setbacks. These setbacks have been caused by, among other things, preclinical findings made before, during and after clinical studies were underway, or observations regarding the lack of safety or efficacy made in clinical studies, which could include new or previously unreported adverse events. In addition, regulatory delays or rejections may be encountered as a result of many factors, including changes in the relevant laws, regulations or regulatory policy during the period of product development.</w:t>
      </w:r>
    </w:p>
    <w:p>
      <w:pPr>
        <w:spacing w:after="0" w:line="18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such studies nonetheless failed to obtain FDA, EMA or other necessary regulatory agency approval. If we fail to obtain results in our on-going, planned and future pre-clinical and clinical studies sufficient to meet the requirements of the relevant regulatory agencies, the development timeline and regulatory approval and commercialization prospects for any potential product candidate, and, correspondingly, our business and financial prospects, would be materially adversely affected.</w:t>
      </w:r>
    </w:p>
    <w:p>
      <w:pPr>
        <w:spacing w:after="0" w:line="277" w:lineRule="exact"/>
        <w:rPr>
          <w:sz w:val="20"/>
          <w:szCs w:val="20"/>
          <w:color w:val="auto"/>
        </w:rPr>
      </w:pPr>
    </w:p>
    <w:p>
      <w:pPr>
        <w:ind w:left="200" w:right="220"/>
        <w:spacing w:after="0" w:line="282" w:lineRule="auto"/>
        <w:rPr>
          <w:sz w:val="20"/>
          <w:szCs w:val="20"/>
          <w:color w:val="auto"/>
        </w:rPr>
      </w:pPr>
      <w:r>
        <w:rPr>
          <w:rFonts w:ascii="Arial" w:cs="Arial" w:eastAsia="Arial" w:hAnsi="Arial"/>
          <w:sz w:val="18"/>
          <w:szCs w:val="18"/>
          <w:b w:val="1"/>
          <w:bCs w:val="1"/>
          <w:color w:val="auto"/>
        </w:rPr>
        <w:t>The reported results of the non-human primate studies are based on top-line interim data and may ultimately differ from actual results once additional data are received and fully evaluated.</w:t>
      </w:r>
    </w:p>
    <w:p>
      <w:pPr>
        <w:spacing w:after="0" w:line="58"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reported results of the non-human primate studies that we have publicly disclosed, and that are discussed herein and in documents we incorporated by reference, consist of top-line interim data. Top-line interim data are based on a preliminary analysis of currently-available data from an ongoing series of studies, and therefore the reported results, findings and conclusions related to these data are subject to change following a comprehensive review of the more extensive data that we expect to receive related to the studies. Top-line and interim data are based on important assumptions, estimations, calculations and information currently available to us, and we have not received or had an opportunity to fully and carefully evaluate all of the data related to the studies. As a result, the top-line interim results that we have reported may differ from future results, or different conclusions or considerations may qualify such results, once additional data have been received and fully evaluated. In addition, third parties, including regulatory agencies, may not accept or agree with our assumptions, estimations, calculations or analyses or may interpret or weigh the importance of data differently, which could impact the value of our technology, the approvability or commercialization of product candidates and our business in general. If the top-line interim data that we have reported related to non-human primate differ from actual results, our ability to obtain approval for, and commercialize, our products may be harmed, which could harm our business, financial condition, operating results or prospects.</w:t>
      </w:r>
    </w:p>
    <w:p>
      <w:pPr>
        <w:spacing w:after="0" w:line="277" w:lineRule="exact"/>
        <w:rPr>
          <w:sz w:val="20"/>
          <w:szCs w:val="20"/>
          <w:color w:val="auto"/>
        </w:rPr>
      </w:pPr>
    </w:p>
    <w:p>
      <w:pPr>
        <w:ind w:left="200" w:right="40"/>
        <w:spacing w:after="0" w:line="347" w:lineRule="auto"/>
        <w:rPr>
          <w:sz w:val="20"/>
          <w:szCs w:val="20"/>
          <w:color w:val="auto"/>
        </w:rPr>
      </w:pPr>
      <w:r>
        <w:rPr>
          <w:rFonts w:ascii="Arial" w:cs="Arial" w:eastAsia="Arial" w:hAnsi="Arial"/>
          <w:sz w:val="16"/>
          <w:szCs w:val="16"/>
          <w:b w:val="1"/>
          <w:bCs w:val="1"/>
          <w:color w:val="auto"/>
        </w:rPr>
        <w:t>Clinical development involves a lengthy and expensive process, with an uncertain outcome. We may incur additional costs or experience delays in completing, or ultimately be unable to complete, the development and commercialization of any product candidates.</w:t>
      </w:r>
    </w:p>
    <w:p>
      <w:pPr>
        <w:spacing w:after="0" w:line="1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All of our lead programs are still in the discovery or preclinical stage, and their risk of failure is high. It is impossible to predict when or if any of our programs will prove effective and safe in humans or will receive regulatory approval. Before obtaining marketing approval from regulatory authorities for the sale of any product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91" w:lineRule="auto"/>
        <w:rPr>
          <w:sz w:val="20"/>
          <w:szCs w:val="20"/>
          <w:color w:val="auto"/>
        </w:rPr>
      </w:pPr>
      <w:r>
        <w:rPr>
          <w:rFonts w:ascii="Arial" w:cs="Arial" w:eastAsia="Arial" w:hAnsi="Arial"/>
          <w:sz w:val="16"/>
          <w:szCs w:val="16"/>
          <w:color w:val="auto"/>
        </w:rPr>
        <w:t>candidate, we must complete preclinical development and then conduct extensive clinical trials to demonstrate the safety and efficacy of any of our future product candidates in humans. Preclinical and clinical testing is expensive, difficult to design and implement, can take many years to complete and is uncertain as to outcome. We may be unable to establish clinical endpoints that applicable regulatory authorities would consider clinically meaningful, and a clinical trial can fail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Successful completion of clinical trials is a prerequisite to submitting a New Drug Application (NDA) or Biologics License Application (BLA) to the FDA, a Marketing Authorization Application to the EMA and similar filings to comparable foreign regulatory authorities, for each product candidate and, consequently, the ultimate approval and commercial marketing of any product candidates. We do not know whether any of our clinical trials will begin or be completed on schedule, if at all.</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We also may experience numerous unforeseen events during, or as a result of, any future clinical trials that we could conduct, which could delay or prevent our ability to receive marketing approval or commercialize our product candidates, including:</w:t>
      </w:r>
    </w:p>
    <w:p>
      <w:pPr>
        <w:spacing w:after="0" w:line="87" w:lineRule="exact"/>
        <w:rPr>
          <w:sz w:val="20"/>
          <w:szCs w:val="20"/>
          <w:color w:val="auto"/>
        </w:rPr>
      </w:pPr>
    </w:p>
    <w:p>
      <w:pPr>
        <w:ind w:left="860" w:right="34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860" w:right="240" w:hanging="2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86" w:lineRule="exact"/>
        <w:rPr>
          <w:rFonts w:ascii="Arial" w:cs="Arial" w:eastAsia="Arial" w:hAnsi="Arial"/>
          <w:sz w:val="18"/>
          <w:szCs w:val="18"/>
          <w:color w:val="auto"/>
        </w:rPr>
      </w:pPr>
    </w:p>
    <w:p>
      <w:pPr>
        <w:ind w:left="860" w:right="340" w:hanging="2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86" w:lineRule="exact"/>
        <w:rPr>
          <w:rFonts w:ascii="Arial" w:cs="Arial" w:eastAsia="Arial" w:hAnsi="Arial"/>
          <w:sz w:val="18"/>
          <w:szCs w:val="18"/>
          <w:color w:val="auto"/>
        </w:rPr>
      </w:pPr>
    </w:p>
    <w:p>
      <w:pPr>
        <w:jc w:val="both"/>
        <w:ind w:left="860" w:right="140" w:hanging="2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may be larger than we anticipate, enrollment in these clinical trials may be lower than required by the regulatory agencies or slower than we anticipate, or participants may drop out of these clinical trials or fail to return for post-treatment follow-up at a higher rate than we anticipate;</w:t>
      </w:r>
    </w:p>
    <w:p>
      <w:pPr>
        <w:spacing w:after="0" w:line="86" w:lineRule="exact"/>
        <w:rPr>
          <w:rFonts w:ascii="Arial" w:cs="Arial" w:eastAsia="Arial" w:hAnsi="Arial"/>
          <w:sz w:val="18"/>
          <w:szCs w:val="18"/>
          <w:color w:val="auto"/>
        </w:rPr>
      </w:pPr>
    </w:p>
    <w:p>
      <w:pPr>
        <w:jc w:val="both"/>
        <w:ind w:left="860" w:right="40" w:hanging="224"/>
        <w:spacing w:after="0" w:line="342" w:lineRule="auto"/>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9" w:lineRule="exact"/>
        <w:rPr>
          <w:rFonts w:ascii="Arial" w:cs="Arial" w:eastAsia="Arial" w:hAnsi="Arial"/>
          <w:sz w:val="16"/>
          <w:szCs w:val="16"/>
          <w:color w:val="auto"/>
        </w:rPr>
      </w:pPr>
    </w:p>
    <w:p>
      <w:pPr>
        <w:ind w:left="860" w:right="300" w:hanging="2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of any product candidates may be greater than we anticipate;</w:t>
      </w:r>
    </w:p>
    <w:p>
      <w:pPr>
        <w:spacing w:after="0" w:line="130" w:lineRule="exact"/>
        <w:rPr>
          <w:rFonts w:ascii="Arial" w:cs="Arial" w:eastAsia="Arial" w:hAnsi="Arial"/>
          <w:sz w:val="18"/>
          <w:szCs w:val="18"/>
          <w:color w:val="auto"/>
        </w:rPr>
      </w:pPr>
    </w:p>
    <w:p>
      <w:pPr>
        <w:ind w:left="860" w:right="72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5" w:lineRule="exact"/>
        <w:rPr>
          <w:rFonts w:ascii="Arial" w:cs="Arial" w:eastAsia="Arial" w:hAnsi="Arial"/>
          <w:sz w:val="18"/>
          <w:szCs w:val="18"/>
          <w:color w:val="auto"/>
        </w:rPr>
      </w:pPr>
    </w:p>
    <w:p>
      <w:pPr>
        <w:jc w:val="both"/>
        <w:ind w:left="860" w:right="140" w:hanging="224"/>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IRBs or ethics committees to suspend or terminate the trials, or reports may arise from preclinical or clinical testing of other gene therapies or gene editing based therapies that raise safety or efficacy concerns about our product candidates;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62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or rely on a clinical trial.</w:t>
      </w:r>
    </w:p>
    <w:p>
      <w:pPr>
        <w:spacing w:after="0" w:line="17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could also encounter delays if a clinical trial is suspended or terminated by us, the IRBs of the institutions in which such trials are being conducted, the Data Safety Monitoring Board (DSMB) for such trial or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preclinical or future clinical development programs may harm our business, financial condition and prospects significantly.</w:t>
      </w:r>
    </w:p>
    <w:p>
      <w:pPr>
        <w:spacing w:after="0" w:line="297"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Inconclusive results, lack of efficacy, adverse events or additional safety concerns in clinical trials that we or others conduct may impede the regulatory approval process or overall market acceptance of our future product candidates.</w:t>
      </w:r>
    </w:p>
    <w:p>
      <w:pPr>
        <w:spacing w:after="0" w:line="5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Therapeutic applications of gene editing technologies, and CRISPR/Cas9 in particular, are unproven and must undergo rigorous clinical trials and regulatory review before receiving marketing authorization. If the results of our clinical studies or those of any other third parties, including with respect to gene editing technology, are inconclusive, fail to show efficacy or if such clinical trials give rise to safety concerns or adverse events, we may:</w:t>
      </w:r>
    </w:p>
    <w:p>
      <w:pPr>
        <w:spacing w:after="0" w:line="52" w:lineRule="exact"/>
        <w:rPr>
          <w:sz w:val="20"/>
          <w:szCs w:val="20"/>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 if at all;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 subject to the addition of labeling statements, such as warnings or contraindications, or other types of regulatory restrictions or scrutiny;</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jc w:val="both"/>
        <w:ind w:left="860" w:right="580" w:hanging="224"/>
        <w:spacing w:after="0" w:line="342"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have regulatory authorities modify or withdraw their legal requirements or written guidance, if any, regarding the applicable regulatory approval pathway or any approval of the product in question, or impose restrictions on its distribution in the form of a modified REMS;</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Additionally, our future product candidates could potentially cause other adverse events that have not yet been predicted and the potentially permanent nature of gene editing effects, including CRISPR/Cas9’s effects, on genes may make these adverse events irreversible. The inclusion of critically ill patients in our clinical studies or those of our competitors may result in deaths or other adverse medical events, including those due to other therapies or medications that such patients may be using. Any of these events could prevent us from achieving or maintaining regulatory approval or market acceptance of our future product candidates and impair our ability to achieve profitability.</w:t>
      </w:r>
    </w:p>
    <w:p>
      <w:pPr>
        <w:spacing w:after="0" w:line="277"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We have never generated any revenue from product sales and our ability to generate revenue from product sales and become profitable depends significantly on our success in a number of areas.</w:t>
      </w:r>
    </w:p>
    <w:p>
      <w:pPr>
        <w:spacing w:after="0" w:line="5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We have no products approved for commercial sale, have not generated any revenue from product sales, and do not anticipate generating any revenue from product sales until sometime after we have received regulatory approval for the commercial sale of a product candidate that we discover. Our ability to generate revenue and achieve and retain profitability depends significantly on our success in many areas, including:</w:t>
      </w:r>
    </w:p>
    <w:p>
      <w:pPr>
        <w:spacing w:after="0" w:line="71"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commercially viable product candidates and effective delivery methods;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trials;</w:t>
      </w:r>
    </w:p>
    <w:p>
      <w:pPr>
        <w:spacing w:after="0" w:line="130" w:lineRule="exact"/>
        <w:rPr>
          <w:rFonts w:ascii="Arial" w:cs="Arial" w:eastAsia="Arial" w:hAnsi="Arial"/>
          <w:sz w:val="18"/>
          <w:szCs w:val="18"/>
          <w:color w:val="auto"/>
        </w:rPr>
      </w:pPr>
    </w:p>
    <w:p>
      <w:pPr>
        <w:ind w:left="860" w:right="340" w:hanging="224"/>
        <w:spacing w:after="0" w:line="34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product candidates, including establishing and maintaining commercially viable supply relationships with third parties and potentially establishing our own manufacturing capabilities and infrastructure;</w:t>
      </w:r>
    </w:p>
    <w:p>
      <w:pPr>
        <w:spacing w:after="0" w:line="29" w:lineRule="exact"/>
        <w:rPr>
          <w:rFonts w:ascii="Arial" w:cs="Arial" w:eastAsia="Arial" w:hAnsi="Arial"/>
          <w:sz w:val="16"/>
          <w:szCs w:val="16"/>
          <w:color w:val="auto"/>
        </w:rPr>
      </w:pPr>
    </w:p>
    <w:p>
      <w:pPr>
        <w:ind w:left="860" w:right="16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accurately assessing the size and addressability of potential patient populations;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or which may be necessary for us to develop, manufacture or commercialize our product candidates;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good relationships with our collaborators and licensors;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avoiding infringement of or obtaining licenses to any valid intellectual property owned or controlled by third parties;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Even if one or more product candidates that we discover and develop are approved for commercial sale, we anticipate incurring significant costs associated with commercializing any approved product candidate and the timing of such costs may be out of our control. Our expenses could increase beyond expectations if we are required by the FDA or other regulatory agencies, domestic or foreign, to change our manufacturing processes or assays, or to perform clinical, nonclinical or other types of additional studies. If we are successful in obtaining regulatory approvals to market one or more product candidates, our revenue will be dependent, in part, upon the size of the markets in the territories for which we gain regulatory approval, the accepted price for the product, the ability to get reimbursement at any price and whether we own the commercial rights for that territory. If the number of our addressable disease patients is not as significant as we estimate, the indication approved by</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p>
    <w:p>
      <w:pPr>
        <w:spacing w:after="0" w:line="285"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b w:val="1"/>
          <w:bCs w:val="1"/>
          <w:color w:val="auto"/>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p>
    <w:p>
      <w:pPr>
        <w:spacing w:after="0" w:line="180"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The biotechnology and pharmaceutical industries, including the gene editing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4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Competitors in our efforts to provide genetic therapies to patients can be grouped into at least three sets based on their product discovery platforms:</w:t>
      </w:r>
    </w:p>
    <w:p>
      <w:pPr>
        <w:spacing w:after="0" w:line="76" w:lineRule="exact"/>
        <w:rPr>
          <w:sz w:val="20"/>
          <w:szCs w:val="20"/>
          <w:color w:val="auto"/>
        </w:rPr>
      </w:pPr>
    </w:p>
    <w:p>
      <w:pPr>
        <w:ind w:left="860" w:right="68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 editing companies focused on CRISPR/Cas9 including: Casebia Therapeutics, CRISPR Therapeutics, Inc., Editas Medicine, Inc., ToolGen, Inc. and Tracr Hematology Limited;</w:t>
      </w:r>
    </w:p>
    <w:p>
      <w:pPr>
        <w:spacing w:after="0" w:line="75"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gene editing companies including: bluebird bio, Inc., Cellectis S.A., Poseida, Inc., Precision BioSciences, Inc. and Sangamo BioSciences; and</w:t>
      </w:r>
    </w:p>
    <w:p>
      <w:pPr>
        <w:spacing w:after="0" w:line="75" w:lineRule="exact"/>
        <w:rPr>
          <w:rFonts w:ascii="Arial" w:cs="Arial" w:eastAsia="Arial" w:hAnsi="Arial"/>
          <w:sz w:val="18"/>
          <w:szCs w:val="18"/>
          <w:color w:val="auto"/>
        </w:rPr>
      </w:pPr>
    </w:p>
    <w:p>
      <w:pPr>
        <w:ind w:left="860" w:right="340" w:hanging="224"/>
        <w:spacing w:after="0" w:line="308"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gene therapy companies developing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therapies including: bluebird bio, Inc., Cellectis S.A., Juno Therapeutics, Inc., Gilead Sciences, Inc. (who recently acquired Kite Pharma, Inc.), Novartis A.G. and Spark Therapeutics, Inc.</w:t>
      </w:r>
    </w:p>
    <w:p>
      <w:pPr>
        <w:spacing w:after="0" w:line="14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 xml:space="preserve">Our competitors will also include companies that are or will be developing other gene editing methods as well as small molecules, biologics,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gene therapies and nucleic acid-based therapies for the same indications that we are targeting with our CRISPR/Cas9-based therapeutics.</w:t>
      </w:r>
    </w:p>
    <w:p>
      <w:pPr>
        <w:spacing w:after="0" w:line="12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Any advances in gene therapy or gene editing technology made by a competitor may be used to develop therapies that could compete against any of our product candidates. Many of these competitors have substantially greater research and development capabilities and financial, scientific, technical, intellectual property, manufacturing, marketing, distribution and other resources than we do, and we may not be able to successfully compete with them.</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To become and remain profitable, we must discover, develop and eventually commercialize product candidates with significant market potential, which will require us to be successful in a range of challenging activities. These activities can include completing preclinical studies and clinical trials of product candidates, obtaining marketing approval for product candidates, manufacturing, marketing and selling products that are approved and satisfying any post-marketing requirements. Even if we are successful in selecting and developing any product candidates, in order to compete successfully we may need to be first-to-market or demonstrate that our CRISPR/Cas9-based products are superior to therapies based on the same or different treatment methods. If we are not first-to-market or are unable to demonstrate such superiority, any products for which we are able to obtain approval may not be successful. Furthermore, in certain jurisdictions, if a competitor has orphan drug status for a product and if our product candidate is determined to be contained within the scope of a competitor’s orphan drug exclusivity, then approval of our product for that indication or disease could potentially be blocked, for example, for up to seven years in the United States and 10 years in the EU.</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 If we do achieve profitability, we may not be able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We have a very limited operating history, which may make it difficult to evaluate our current business and predict our future performance.</w:t>
      </w:r>
    </w:p>
    <w:p>
      <w:pPr>
        <w:spacing w:after="0" w:line="144"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are very early in our development efforts and all of our lead programs are still in the discovery stage. We were formed in May 2014, have no products approved for commercial sale and have not generated any revenue from product sales. Our ability to generate product revenue or profits, which we do not expect will occur for many years, if ever, will depend heavily on the successful development and eventual commercialization of our product candidates, which may never occur. We may never be able to develop or commercialize a marketable product.</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Each of our programs may require additional discovery research and then preclinical and clinical development, regulatory approval in multiple jurisdictions, obtaining manufacturing supply, capacity and expertise, building of a commercial organization, substantial investment and significant marketing efforts before we generate any revenue from product sales. In addition, our product candidates must be approved for marketing by the FDA or certain other foreign regulatory agencies, including the EMA, before we may commercialize any product.</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limited operating history, particularly in light of the rapidly evolving gene editing field, may make it difficult to evaluate our current business and predict our future performance. Our very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291" w:lineRule="exact"/>
        <w:rPr>
          <w:sz w:val="20"/>
          <w:szCs w:val="20"/>
          <w:color w:val="auto"/>
        </w:rPr>
      </w:pPr>
    </w:p>
    <w:p>
      <w:pPr>
        <w:ind w:left="200" w:right="180"/>
        <w:spacing w:after="0" w:line="282" w:lineRule="auto"/>
        <w:rPr>
          <w:sz w:val="20"/>
          <w:szCs w:val="20"/>
          <w:color w:val="auto"/>
        </w:rPr>
      </w:pPr>
      <w:r>
        <w:rPr>
          <w:rFonts w:ascii="Arial" w:cs="Arial" w:eastAsia="Arial" w:hAnsi="Arial"/>
          <w:sz w:val="18"/>
          <w:szCs w:val="18"/>
          <w:b w:val="1"/>
          <w:bCs w:val="1"/>
          <w:color w:val="auto"/>
        </w:rPr>
        <w:t>We have incurred net losses in each period since our inception, anticipate that we will continue to incur net losses in the future and may never achieve profitability.</w:t>
      </w:r>
    </w:p>
    <w:p>
      <w:pPr>
        <w:spacing w:after="0" w:line="5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are not profitable and have incurred losses in each period since our inception. Our net loss was $43.6 million for the nine months ended September 30, 2017. As of September 30, 2017, we had an accumulated deficit of $97.2 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w:t>
      </w:r>
    </w:p>
    <w:p>
      <w:pPr>
        <w:spacing w:after="0" w:line="173"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A critical aspect of our strategy is to invest significantly in our technology to improve the efficacy and safety of potential product candidates that we discover. Even if we succeed in discovering, developing and ultimately commercializing one or more of these product candidates, we will continue to incur losses for the foreseeable future relating to our substantial research and development expenditures to develop our technologies.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00"/>
        <w:spacing w:after="0" w:line="282" w:lineRule="auto"/>
        <w:rPr>
          <w:sz w:val="20"/>
          <w:szCs w:val="20"/>
          <w:color w:val="auto"/>
        </w:rPr>
      </w:pPr>
      <w:r>
        <w:rPr>
          <w:rFonts w:ascii="Arial" w:cs="Arial" w:eastAsia="Arial" w:hAnsi="Arial"/>
          <w:sz w:val="18"/>
          <w:szCs w:val="18"/>
          <w:b w:val="1"/>
          <w:bCs w:val="1"/>
          <w:color w:val="auto"/>
        </w:rPr>
        <w:t>We may need to raise substantial additional funding to fund our operations. If we fail to obtain additional financing, we may be unable to complete the development and commercialization of any product candidates.</w:t>
      </w:r>
    </w:p>
    <w:p>
      <w:pPr>
        <w:spacing w:after="0" w:line="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and we expect to spend substantial amounts of our financial resources on our discovery programs going forward and future development efforts. If we are able to identify product candidates that are eventually approved, we will require significant additional amounts in order to launch and commercialize our product candidates. For the foreseeable future, we expect to continue to rely on additional financing to achieve our business objectives.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any product candidates and may need to raise additional funds sooner if we choose to expand more rapidly than we presently anticipate or due to other unanticipated factors.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collaboration and license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Raising additional capital may cause dilution to our stockholders and restrict our operations.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will need additional capital in the future to continue our planned operations. To the extent that we raise additional capital through the sale of equity or convertible debt securities, the ownership interest of our existing stockholders may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92" w:lineRule="exact"/>
        <w:rPr>
          <w:sz w:val="20"/>
          <w:szCs w:val="20"/>
          <w:color w:val="auto"/>
        </w:rPr>
      </w:pPr>
    </w:p>
    <w:p>
      <w:pPr>
        <w:ind w:left="200" w:right="560"/>
        <w:spacing w:after="0" w:line="282" w:lineRule="auto"/>
        <w:rPr>
          <w:sz w:val="20"/>
          <w:szCs w:val="20"/>
          <w:color w:val="auto"/>
        </w:rPr>
      </w:pPr>
      <w:r>
        <w:rPr>
          <w:rFonts w:ascii="Arial" w:cs="Arial" w:eastAsia="Arial" w:hAnsi="Arial"/>
          <w:sz w:val="18"/>
          <w:szCs w:val="18"/>
          <w:b w:val="1"/>
          <w:bCs w:val="1"/>
          <w:color w:val="auto"/>
        </w:rPr>
        <w:t>If we experience delays or difficulties in the enrollment of patients in clinical trials, our ability to complete clinical trials or our receipt of necessary regulatory approvals could be delayed or prevented.</w:t>
      </w:r>
    </w:p>
    <w:p>
      <w:pPr>
        <w:spacing w:after="0" w:line="5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may not be able to initiate or continue clinical trials for any future product candidates if we are unable to locate and enroll a sufficient number of eligible patients to participate in these trials as required by the FDA or similar regulatory authorities outside the United States. If patients are unwilling to participate in our clinical studies because of concerns about, or negative publicity from, adverse events in the gene editing field, the novel nature of the CRISPR/Cas9 gene editing technology, the irreversibility of the effects of CRISPR/Cas9 or for other reasons, including competitive clinical studies for similar patient populations, then the timeline for recruiting patients, conducting studies and obtaining regulatory approval of potential products may be delayed. These delays could result in increased costs, delays in advancing our product development, delays in testing the effectiveness of our technology or termination of the clinical studies altogether. In addition, any patients who would otherwise be eligible for clinical trials that we may hold may instead enroll in clinical trials of product candidates of our competitors.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31"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size, location and nature of the patient population;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inability to enroll a sufficient number of patients for clinical trials would result in significant delays and could require us to abandon one or more clinical trials altogether. Enrollment delays in clinical trials may result in increased development costs for any of our potential future product candidates, which would cause the value of the Company to decline and limit our ability to obtain additional financing. Furthermore, we expect to rely on CROs and clinical trial sites to ensure the proper and timely conduct of our clinical trials, and, while we expect to enter into agreements governing their committed activities, we will have limited influence over their actual performance.</w:t>
      </w:r>
    </w:p>
    <w:p>
      <w:pPr>
        <w:spacing w:after="0" w:line="277"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We expect to expand our research, development and regulatory capabilities, and, as a result, we may encounter difficulties in hiring capable personnel and otherwise managing our growth, which could disrupt our operations.</w:t>
      </w:r>
    </w:p>
    <w:p>
      <w:pPr>
        <w:spacing w:after="0" w:line="5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technology research, product development and manufacturing, regulatory affairs and, if any product candidates are submitted for or receive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recruit and train additional qualified personnel or to otherwise effectively manage the expansion of our operations. The expansion of our operations may lead to significant costs and may divert our management and business development resources. Any inability to manage growth could delay the execution of our business and development plans or disrupt our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are highly dependent on the research and development, clinical, legal and business development expertise of Nessan Bermingham, Ph.D., our President and Chief Executive Officer, John M. Leonard, M.D., our Executive Vice President, Research &amp; Development, Graeme Bell, our Executive Vice President, Chief Financial Officer, and José E. Rivera, our Executive Vice President, General Counsel, as well as the other principal members of our management, scientific and clinical teams. Although we have entered into employment arrangements with our executive officers, each of them may terminate their employment with us at any time. We do not maintain “key person” insurance for any of our executives or other employees.</w:t>
      </w:r>
    </w:p>
    <w:p>
      <w:pPr>
        <w:spacing w:after="0" w:line="158"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important for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individuals in our industry with the breadth of skills and experience required to successfully develop, gain regulatory approval of and commercialize products using our technology. Competition to hire from this limited pool is intense, and we may be unable to hire, train, retain or motivate these key personnel on acceptable terms given the competition among numerous pharmaceutical and biotechnology companies, universities and research institutions for similar personnel. The market for qualified personnel in the biotechnology space generally, and gene editing and gene therapy fields in particular, in and around the Cambridge, Massachusetts area is especially competitive.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Further, some of the qualified personnel that we hire and recruit are not United States citizens, and there is uncertainty with regard to their future employment status due to the current U.S. administration’s announced intention of modifying the legal framework for non-U.S. citizens to be employed in the United States. If we are unable to continue to attract and retain high quality personnel, our ability to pursue our growth strategy will be limited.</w:t>
      </w:r>
    </w:p>
    <w:p>
      <w:pPr>
        <w:spacing w:after="0" w:line="287"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b w:val="1"/>
          <w:bCs w:val="1"/>
          <w:color w:val="auto"/>
        </w:rPr>
        <w:t>If, in the future, we are unable to establish sales, marketing and distribution capabilities or enter into agreements with third parties to sell, market and distribute products based on our technologies, we may not be successful in commercializing our products if and when any products candidates or therapies are approved and we may not be able to generate any revenue.</w:t>
      </w:r>
    </w:p>
    <w:p>
      <w:pPr>
        <w:spacing w:after="0" w:line="7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do not currently have a sales, marketing or distribution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they are approved.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31" w:lineRule="exact"/>
        <w:rPr>
          <w:sz w:val="20"/>
          <w:szCs w:val="20"/>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860" w:right="460" w:hanging="224"/>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 candidates that we may develop;</w:t>
      </w:r>
    </w:p>
    <w:p>
      <w:pPr>
        <w:spacing w:after="0" w:line="75"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treatments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location of patients in need of our product candidates and the treating physicians who may prescribe the products; and</w:t>
      </w:r>
    </w:p>
    <w:p>
      <w:pPr>
        <w:spacing w:after="0" w:line="130" w:lineRule="exact"/>
        <w:rPr>
          <w:rFonts w:ascii="Arial" w:cs="Arial" w:eastAsia="Arial" w:hAnsi="Arial"/>
          <w:sz w:val="18"/>
          <w:szCs w:val="18"/>
          <w:color w:val="auto"/>
        </w:rPr>
      </w:pPr>
    </w:p>
    <w:p>
      <w:pPr>
        <w:ind w:left="860" w:right="420" w:hanging="224"/>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 well as legal and regulatory requirements, associated with creating and operating a sales and marketing organization.</w:t>
      </w:r>
    </w:p>
    <w:p>
      <w:pPr>
        <w:spacing w:after="0" w:line="17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spacing w:after="0" w:line="29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color w:val="auto"/>
        </w:rPr>
        <w:t>Our technological advancements and any potential for revenue may be derived in part from our collaborations with Novartis and Regeneron, and if either of these collaboration agreements were to be terminated, our business, financial condition, results of operations and prospects would be harmed.</w:t>
      </w:r>
    </w:p>
    <w:p>
      <w:pPr>
        <w:spacing w:after="0" w:line="72"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In December 2014, we entered into a collaboration agreement with Novartis regarding the discovery of new CRISPR/Cas9-based therapies principally using CAR-T cells and HSCs. Under the Novartis collaboration agreement, we received a commitment to advance multiple programs. Pursuant to the Novartis agreement, we granted Novartis exclusive rights to further develop and commercialize products arising out of the CAR-T cell program during the research term. Regarding HSCs, we plan to jointly advance multiple programs with Novartis and have agreed to a process for assigning development and ownership rights, which will enable us to develop our own proprietary HSC pipeline.</w:t>
      </w:r>
    </w:p>
    <w:p>
      <w:pPr>
        <w:spacing w:after="0" w:line="17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 April 2016, we entered into a collaboration agreement with Regeneron that includes a product component to research, develop and commercialize CRISPR/Cas-based therapeutic products primarily focused on gene editing in the liver as well as a technology collaboration component, pursuant to which we and Regeneron will engage in research and development activities aimed at discovering and developing novel technologies and improvements to CRISPR/Cas technology to enhance our gene editing platform. Pursuant to the Regeneron collaboration agreement, we granted Regeneron exclusive rights to select up to 10 targets, subject to certain restrictions, while we retain the rights to solely develop our sentinel indications, other than ATTR, which will be subject to a co-development and co-commercialization arrangement with Regeneron, and have the right to choose additional liver targets for our own development during the collaboration term. Certain other of the development targets under the Regeneron agreement may also be subject to a co-development/co-commercialization arrangement with the other party at the other party’s option.</w:t>
      </w:r>
    </w:p>
    <w:p>
      <w:pPr>
        <w:spacing w:after="0" w:line="166"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Either Novartis or Regeneron may change its strategic focus or pursue alternative technologies in a manner that results in reduced, delayed or no revenue to us. Each of Novartis and Regeneron has a variety of marketed products and product candidates under collaboration with other companies, including some of our competitors, and the respective corporate objectives of Novartis or Regeneron may not be consistent with our best interests. If either of our collaboration partners fails to develop, obtain regulatory approval for or ultimately commercialize any product candidate from the development programs governed by the respective collaboration agreement in the applicable territories, or if either of our collaboration partners terminates our collaboration with it, our business, financial condition, results of operations and prospects could be harmed. In addition, any dispute or litigation proceedings we may have with either Novartis or Regeneron in the future could delay development programs, create uncertainty as to ownership of or access to intellectual property rights, distract management from other business activities and generate substantial expense.</w:t>
      </w:r>
    </w:p>
    <w:p>
      <w:pPr>
        <w:spacing w:after="0" w:line="270"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Our existing and future collaborations will be important to our business. If we are unable to maintain any of these collaborations, or if these collaborations are not successful, our business could be adversely affected.</w:t>
      </w:r>
    </w:p>
    <w:p>
      <w:pPr>
        <w:spacing w:after="0" w:line="58"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have limited capabilities for product discovery and development and do not yet have any capability for sales, marketing or distribution. Accordingly, we have entered, and plan to enter, into collaborations with other companies, including our therapeutic-focused collaboration agreements with Novartis and Regeneron, that we believe can provide such capabilities. These therapeutic-focused collaborations provide us with important technologies and funding for our programs and technology, and we expect to receive additional technologies 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funding under these and other collaborations in the future. Our existing therapeutic collaborations, and any future collaborations we enter into, may pose a number of risks, including the following:</w:t>
      </w:r>
    </w:p>
    <w:p>
      <w:pPr>
        <w:spacing w:after="0" w:line="76" w:lineRule="exact"/>
        <w:rPr>
          <w:sz w:val="20"/>
          <w:szCs w:val="20"/>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860" w:right="140" w:hanging="224"/>
        <w:spacing w:after="0" w:line="259"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860" w:right="620" w:hanging="224"/>
        <w:spacing w:after="0" w:line="30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860" w:right="360" w:hanging="224"/>
        <w:spacing w:after="0" w:line="264"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could develop independently or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6" w:lineRule="exact"/>
        <w:rPr>
          <w:rFonts w:ascii="Arial" w:cs="Arial" w:eastAsia="Arial" w:hAnsi="Arial"/>
          <w:sz w:val="18"/>
          <w:szCs w:val="18"/>
          <w:color w:val="auto"/>
        </w:rPr>
      </w:pPr>
    </w:p>
    <w:p>
      <w:pPr>
        <w:ind w:left="860" w:right="40" w:hanging="224"/>
        <w:spacing w:after="0" w:line="342"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development or commercialization of our product candidates;</w:t>
      </w:r>
    </w:p>
    <w:p>
      <w:pPr>
        <w:spacing w:after="0" w:line="29" w:lineRule="exact"/>
        <w:rPr>
          <w:rFonts w:ascii="Arial" w:cs="Arial" w:eastAsia="Arial" w:hAnsi="Arial"/>
          <w:sz w:val="16"/>
          <w:szCs w:val="16"/>
          <w:color w:val="auto"/>
        </w:rPr>
      </w:pPr>
    </w:p>
    <w:p>
      <w:pPr>
        <w:ind w:left="860" w:right="14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fail to comply with applicable legal and regulatory requirements regarding the development, manufacture, sale, distribution or marketing of a product candidate or product;</w:t>
      </w:r>
    </w:p>
    <w:p>
      <w:pPr>
        <w:spacing w:after="0" w:line="75" w:lineRule="exact"/>
        <w:rPr>
          <w:rFonts w:ascii="Arial" w:cs="Arial" w:eastAsia="Arial" w:hAnsi="Arial"/>
          <w:sz w:val="18"/>
          <w:szCs w:val="18"/>
          <w:color w:val="auto"/>
        </w:rPr>
      </w:pPr>
    </w:p>
    <w:p>
      <w:pPr>
        <w:ind w:left="860" w:right="30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with sale, marketing and distribution rights to one or more of our product candidates that achieve regulatory approval may not commit sufficient resources to the sale, marketing and distribution of such product or products;</w:t>
      </w:r>
    </w:p>
    <w:p>
      <w:pPr>
        <w:spacing w:after="0" w:line="75" w:lineRule="exact"/>
        <w:rPr>
          <w:rFonts w:ascii="Arial" w:cs="Arial" w:eastAsia="Arial" w:hAnsi="Arial"/>
          <w:sz w:val="18"/>
          <w:szCs w:val="18"/>
          <w:color w:val="auto"/>
        </w:rPr>
      </w:pPr>
    </w:p>
    <w:p>
      <w:pPr>
        <w:ind w:left="860" w:right="80" w:hanging="224"/>
        <w:spacing w:after="0" w:line="259"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discovery, development, sales or marketing, might cause delays or terminations of the research, development or commercialization of product candidates, might lead to additional and burdensome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860" w:right="20" w:hanging="224"/>
        <w:spacing w:after="0" w:line="264"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their or our relevant intellectual property rights or may use our proprietary information in such a way as to invite litigation that could jeopardize or invalidate our intellectual property or proprietary information or expose us to potential litigation and liability;</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or cessation,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If our therapeutic collaborations do not result in the successful discovery,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and commercialization of our technology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product candidates could be delayed and we may need additional resources to develop product candidates and our technology. All of the risks relating to product discovery, development, regulatory approval and commercialization described in this prospectus also apply to the activities of our therapeutic collaborators.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For some of our programs, we may in the future determine to collaborate with pharmaceutical and biotechnology companies for discovery,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discovery efforts or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discovery,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and commercialization activities, we may not be able to further develop our product candidates, bring them to market or continue to develop our technology and our business may be materially and adversely affected.</w:t>
      </w:r>
    </w:p>
    <w:p>
      <w:pPr>
        <w:spacing w:after="0" w:line="277" w:lineRule="exact"/>
        <w:rPr>
          <w:sz w:val="20"/>
          <w:szCs w:val="20"/>
          <w:color w:val="auto"/>
        </w:rPr>
      </w:pPr>
    </w:p>
    <w:p>
      <w:pPr>
        <w:ind w:left="200" w:right="80"/>
        <w:spacing w:after="0" w:line="313" w:lineRule="auto"/>
        <w:rPr>
          <w:sz w:val="20"/>
          <w:szCs w:val="20"/>
          <w:color w:val="auto"/>
        </w:rPr>
      </w:pPr>
      <w:r>
        <w:rPr>
          <w:rFonts w:ascii="Arial" w:cs="Arial" w:eastAsia="Arial" w:hAnsi="Arial"/>
          <w:sz w:val="17"/>
          <w:szCs w:val="17"/>
          <w:b w:val="1"/>
          <w:bCs w:val="1"/>
          <w:color w:val="auto"/>
        </w:rPr>
        <w:t>Gene editing products are novel and may be complex and difficult to manufacture. We could experience manufacturing problems that result in delays in the development or commercialization of our product candidates or otherwise harm our business.</w:t>
      </w:r>
    </w:p>
    <w:p>
      <w:pPr>
        <w:spacing w:after="0" w:line="34"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manufacturing process used to produce CRISPR/Cas9-based product candidates may be complex, as they are novel and have not been validated for clinical and commercial production. Several factors could cause production interruptions, including equipment malfunctions; facility unavailability or contamination; raw material cost, shortages or contamination; natural disasters; disruption in utility services; human error; insufficient personnel; inability to meet legal or regulatory requirements; or disruptions in the operations of our suppliers.</w:t>
      </w:r>
    </w:p>
    <w:p>
      <w:pPr>
        <w:spacing w:after="0" w:line="17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Our product candidates will require processing steps that are more complex than those required for most small molecule drugs. Moreover, unlike small molecules, the physical and chemical properties of a complex product such as ours generally cannot be fully characterized. As a result, assays of the finished product or relevant components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and litigation, insufficient inventory or production interruption. We may encounter problems achieving adequate quantities and quality of clinical grade materials that meet FDA, EMA or other applicable standards or specifications with consistent and acceptable production yields and costs.</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relevant agency authorizes its release. Slight deviations in the manufacturing process, including those affecting quality attributes and stability, may result in unacceptable changes in the product that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could result in lot failures, product recalls or production interruption. Lot failures, product recalls or production interruption could cause us to delay product launches or clinical trials, which could be costly to us and otherwise harm our business, financial condition, results of operations and prospects. Problems in our manufacturing process could restrict our ability to meet market demand for our products.</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also may encounter problems hiring and retaining the experienced scientific, quality-control and manufacturing personnel needed to operate our manufacturing processes, which could result in delays in production or difficulties in maintaining compliance with applicable regulatory requirements.</w:t>
      </w:r>
    </w:p>
    <w:p>
      <w:pPr>
        <w:spacing w:after="0" w:line="181"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228"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b w:val="1"/>
          <w:bCs w:val="1"/>
          <w:color w:val="auto"/>
        </w:rPr>
        <w:t>We expect to rely in part on third parties to manufacture our clinical product supplies, and we intend to rely on third parties for at least a portion of the manufacturing process of our product candidates, if approved. Our business could be harmed if the third parties fail to provide us with sufficient quantities of product inputs or fail to do so at acceptable quality levels or prices or fail to meet legal and regulatory requirements.</w:t>
      </w:r>
    </w:p>
    <w:p>
      <w:pPr>
        <w:spacing w:after="0" w:line="76" w:lineRule="exact"/>
        <w:rPr>
          <w:sz w:val="20"/>
          <w:szCs w:val="20"/>
          <w:color w:val="auto"/>
        </w:rPr>
      </w:pPr>
    </w:p>
    <w:p>
      <w:pPr>
        <w:jc w:val="both"/>
        <w:ind w:left="200" w:right="320" w:firstLine="441"/>
        <w:spacing w:after="0" w:line="302" w:lineRule="auto"/>
        <w:rPr>
          <w:sz w:val="20"/>
          <w:szCs w:val="20"/>
          <w:color w:val="auto"/>
        </w:rPr>
      </w:pPr>
      <w:r>
        <w:rPr>
          <w:rFonts w:ascii="Arial" w:cs="Arial" w:eastAsia="Arial" w:hAnsi="Arial"/>
          <w:sz w:val="16"/>
          <w:szCs w:val="16"/>
          <w:color w:val="auto"/>
        </w:rPr>
        <w:t>We do not currently own any facility that may be used as our clinical-scale manufacturing and processing facility and must eventually rely on outside vendors to manufacture supplies and process our product candidates. We have not yet caused any product candidates to be manufactured or processed on a commercial scale and may not be able to do so for any of our product candidates. We will make changes as we work to optimize the manufacturing process, and we cannot be sure that even minor changes in the process will result in therapies that are safe, potent or effective.</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or other foreign regulatory agencies pursuant to inspections that will be conducted after we submit an application to the FDA or other foreign regulatory agencies. We will be dependent on, our contract manufacturing partners for compliance with legal and regulatory requirements for manufacture, including current Good Manufacturing Practice (cGMP), and in certain cases, current Good Tissue Practice (cGTP), requirements of our product candidates.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82" w:lineRule="exact"/>
        <w:rPr>
          <w:sz w:val="20"/>
          <w:szCs w:val="20"/>
          <w:color w:val="auto"/>
        </w:rPr>
      </w:pPr>
    </w:p>
    <w:p>
      <w:pPr>
        <w:jc w:val="both"/>
        <w:ind w:left="200" w:right="220"/>
        <w:spacing w:after="0" w:line="266" w:lineRule="auto"/>
        <w:rPr>
          <w:sz w:val="20"/>
          <w:szCs w:val="20"/>
          <w:color w:val="auto"/>
        </w:rPr>
      </w:pPr>
      <w:r>
        <w:rPr>
          <w:rFonts w:ascii="Arial" w:cs="Arial" w:eastAsia="Arial" w:hAnsi="Arial"/>
          <w:sz w:val="18"/>
          <w:szCs w:val="18"/>
          <w:b w:val="1"/>
          <w:bCs w:val="1"/>
          <w:color w:val="auto"/>
        </w:rPr>
        <w:t>We will rely on third parties to conduct our clinical trials. If these third parties do not successfully carry out their contractual duties or meet expected deadlines or comply with legal and regulatory requirements, we may not be able to obtain regulatory approval of or commercialize any potential product candidates.</w:t>
      </w:r>
    </w:p>
    <w:p>
      <w:pPr>
        <w:spacing w:after="0" w:line="7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will depend upon third parties, including independent investigators, to conduct our clinical trials under agreements with universities, medical institutions, CROs, strategic partners and others. We expect to have to negotiate budgets and contracts with CROs and trial sites, which may result in delays to our development timelines and increased costs.</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will rely heavily on third parties over the course of our clinical trials, and, as a result, will have limited control over the clinical investigators and limited visibility into their day-to-day activities, including with respect to their compliance with the approved clinical protocol and other legal, regulatory and scientific standards.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9"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and legal, regulatory and scientific standards, and our reliance on third parties does not relieve us of our legal responsibilities. We and these third parties are required to comply with good clinical practice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product produced under cGMP, and in certain cases, cGTP, requirements and may require a large number of test patients.</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failure or any failure by these third parties to comply with these requirements or to recruit a sufficient number of patients may require us to repeat clinical trials, which would delay the regulatory approval process. Moreover, our business may be implicated if any of these third parties violates applicable federal, state or local, as well as foreign, laws and regulations, such as the fraud and abuse or false claims laws and regulations or privacy and security laws.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Any third parties conducting our future clinical trials will not be our employees and, except for remedies that may be available to us under our agreements with such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 transition to a new CRO may result in delays,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97" w:lineRule="exact"/>
        <w:rPr>
          <w:sz w:val="20"/>
          <w:szCs w:val="20"/>
          <w:color w:val="auto"/>
        </w:rPr>
      </w:pPr>
    </w:p>
    <w:p>
      <w:pPr>
        <w:ind w:left="200" w:right="740"/>
        <w:spacing w:after="0" w:line="282" w:lineRule="auto"/>
        <w:rPr>
          <w:sz w:val="20"/>
          <w:szCs w:val="20"/>
          <w:color w:val="auto"/>
        </w:rPr>
      </w:pPr>
      <w:r>
        <w:rPr>
          <w:rFonts w:ascii="Arial" w:cs="Arial" w:eastAsia="Arial" w:hAnsi="Arial"/>
          <w:sz w:val="18"/>
          <w:szCs w:val="18"/>
          <w:b w:val="1"/>
          <w:bCs w:val="1"/>
          <w:color w:val="auto"/>
        </w:rPr>
        <w:t>Unfavorable global economic conditions or political developments could adversely affect our business, financial condition or results of operations.</w:t>
      </w:r>
    </w:p>
    <w:p>
      <w:pPr>
        <w:spacing w:after="0" w:line="5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recent political unrest and global financial crises can cause extreme volatility and disruptions in the capital and credit markets. A severe or prolonged economic downturn, political unrest or additional global financial crises could result in a variety of risks to our business, including weakened demand for our products,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further political developments and financial market conditions could adversely impact our business.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40"/>
        <w:spacing w:after="0" w:line="282" w:lineRule="auto"/>
        <w:rPr>
          <w:sz w:val="20"/>
          <w:szCs w:val="20"/>
          <w:color w:val="auto"/>
        </w:rPr>
      </w:pPr>
      <w:r>
        <w:rPr>
          <w:rFonts w:ascii="Arial" w:cs="Arial" w:eastAsia="Arial" w:hAnsi="Arial"/>
          <w:sz w:val="18"/>
          <w:szCs w:val="18"/>
          <w:b w:val="1"/>
          <w:b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computer viruses, unauthorized access, theft, vandalism, accidental or intentional errors, natural disasters, terrorism, war and telecommunication and electrical failures. While we have not experienced any such material system failure or accident and are not aware of any security breach to date, if such an event were to occur and cause interruptions in our operations, it could result in a disruption of our discovery and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5" w:lineRule="exact"/>
        <w:rPr>
          <w:sz w:val="20"/>
          <w:szCs w:val="20"/>
          <w:color w:val="auto"/>
        </w:rPr>
      </w:pPr>
    </w:p>
    <w:p>
      <w:pPr>
        <w:jc w:val="both"/>
        <w:ind w:left="200" w:right="280"/>
        <w:spacing w:after="0" w:line="266" w:lineRule="auto"/>
        <w:rPr>
          <w:sz w:val="20"/>
          <w:szCs w:val="20"/>
          <w:color w:val="auto"/>
        </w:rPr>
      </w:pPr>
      <w:r>
        <w:rPr>
          <w:rFonts w:ascii="Arial" w:cs="Arial" w:eastAsia="Arial" w:hAnsi="Arial"/>
          <w:sz w:val="18"/>
          <w:szCs w:val="18"/>
          <w:b w:val="1"/>
          <w:bCs w:val="1"/>
          <w:color w:val="auto"/>
        </w:rPr>
        <w:t>The regulatory approval process for our potential product candidates in the United States, EU and other jurisdictions is currently uncertain and will be lengthy, time-consuming and inherently unpredictable and we may experience significant delays in the clinical development and regulatory approval, if any, of our product candidates.</w:t>
      </w:r>
    </w:p>
    <w:p>
      <w:pPr>
        <w:spacing w:after="0" w:line="7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including biologics, are subject to extensive regulation by the FDA in the United States and other regulatory authorities. We are not permitted to market any drug or biological product in the United States until we receive regulatory approval from the FDA. We have not previously submitted an NDA or BLA to the FDA, or similar approval filings to comparable foreign authorities. An NDA or BLA must include extensive preclinical and clinical data and supporting information to establish that the product candidate is safe and effective or, for biological products, safe, pure and potent for each desired indication. The application must also include significant information regarding the chemistry, manufacturing and controls for the product, and the manufacturing facilities must complete a successful pre-approval inspection by the FDA, or applicable foreign authority, prior to the approval or licensure of the product. We expect the novel nature of our product candidates to create further challenges in obtaining regulatory approval. For example, the FDA currently has no experience evaluating CRISPR/Cas9-based therapies for human therapeutic use.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Moreover, while we are not aware of any specific genetic or biomarker diagnostic tests for which regulatory approval would be necessary in order to advance any of our product candidates to clinical trials or potential commercialization, in the future regulatory agencies may require the development and approval of such tests. Accordingly, the regulatory approval pathway for such product candidates may be uncertain, complex, expensive and lengthy, and approval may not be obtained.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131" w:lineRule="exact"/>
        <w:rPr>
          <w:sz w:val="20"/>
          <w:szCs w:val="20"/>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regulatory authorization to conduct a trial, if applicable;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130" w:lineRule="exact"/>
        <w:rPr>
          <w:rFonts w:ascii="Arial" w:cs="Arial" w:eastAsia="Arial" w:hAnsi="Arial"/>
          <w:sz w:val="18"/>
          <w:szCs w:val="18"/>
          <w:color w:val="auto"/>
        </w:rPr>
      </w:pPr>
    </w:p>
    <w:p>
      <w:pPr>
        <w:ind w:left="860" w:right="7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 requirements or dropping out of a trial;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qualified materials under cGMP regulations for use in clinical trials.</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Further, a clinical trial may be suspended or terminated by us, the IRBs for the institutions in which such trials are being conducted, the DSMB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product candidates, the commercial prospects for our product candidates will be harmed, and our ability to generate product revenue will be impaired. In addition, any delays in completing any clinical trials will increase our costs, slow down our product development and approval process and jeopardize our ability to commence product sales and generate revenue.</w:t>
      </w:r>
    </w:p>
    <w:p>
      <w:pPr>
        <w:spacing w:after="0" w:line="286" w:lineRule="exact"/>
        <w:rPr>
          <w:sz w:val="20"/>
          <w:szCs w:val="20"/>
          <w:color w:val="auto"/>
        </w:rPr>
      </w:pPr>
    </w:p>
    <w:p>
      <w:pPr>
        <w:ind w:left="200" w:right="560"/>
        <w:spacing w:after="0" w:line="282" w:lineRule="auto"/>
        <w:rPr>
          <w:sz w:val="20"/>
          <w:szCs w:val="20"/>
          <w:color w:val="auto"/>
        </w:rPr>
      </w:pPr>
      <w:r>
        <w:rPr>
          <w:rFonts w:ascii="Arial" w:cs="Arial" w:eastAsia="Arial" w:hAnsi="Arial"/>
          <w:sz w:val="18"/>
          <w:szCs w:val="18"/>
          <w:b w:val="1"/>
          <w:bCs w:val="1"/>
          <w:color w:val="auto"/>
        </w:rPr>
        <w:t>Obtaining and maintaining regulatory approval of our product candidates in one jurisdiction does not mean that we will be successful in obtaining regulatory approval of product candidates in other jurisdictions.</w:t>
      </w:r>
    </w:p>
    <w:p>
      <w:pPr>
        <w:spacing w:after="0" w:line="5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are allowed to charge for our products is also subject to approval.</w:t>
      </w:r>
    </w:p>
    <w:p>
      <w:pPr>
        <w:spacing w:after="0" w:line="166"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to receive applicable marketing approvals, our target market will be reduced and our ability to realize the full market potential of our product candidates will be harmed.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40"/>
        <w:spacing w:after="0" w:line="289" w:lineRule="auto"/>
        <w:rPr>
          <w:sz w:val="20"/>
          <w:szCs w:val="20"/>
          <w:color w:val="auto"/>
        </w:rPr>
      </w:pPr>
      <w:r>
        <w:rPr>
          <w:rFonts w:ascii="Arial" w:cs="Arial" w:eastAsia="Arial" w:hAnsi="Arial"/>
          <w:sz w:val="17"/>
          <w:szCs w:val="17"/>
          <w:b w:val="1"/>
          <w:bCs w:val="1"/>
          <w:color w:val="auto"/>
        </w:rPr>
        <w:t>Even if we receive regulatory approval of any product candidates or therapies,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5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distribution,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and in certain cases, cGTP, requirements for any clinical trials that we conduct post-approval.</w:t>
      </w:r>
    </w:p>
    <w:p>
      <w:pPr>
        <w:spacing w:after="0" w:line="18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and, in certain cases, cGTP requirements. As such, we and our contract manufacturers will be subject to continual review and inspections to assess compliance with cGMP and adherence to commitments made in any NDA or BLA, other marketing applications, and previous responses to inspection observations. Accordingly, we and others with whom we work must continue to expend time, money, and effort in all areas of regulatory compliance, including manufacturing, production and quality control.</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legal or regulatory requirements including submissions of safety and other post-marketing information and reports and registration.</w:t>
      </w:r>
    </w:p>
    <w:p>
      <w:pPr>
        <w:spacing w:after="0" w:line="17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FDA may seek to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9" w:lineRule="exact"/>
        <w:rPr>
          <w:sz w:val="20"/>
          <w:szCs w:val="20"/>
          <w:color w:val="auto"/>
        </w:rPr>
      </w:pPr>
    </w:p>
    <w:p>
      <w:pPr>
        <w:ind w:left="860" w:right="160" w:hanging="224"/>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U.S.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auto"/>
        </w:rPr>
        <w:t>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and legal compliance, we may lose any marketing approval that we may have obtained and we may not achieve or sustain profitability.</w:t>
      </w:r>
    </w:p>
    <w:p>
      <w:pPr>
        <w:spacing w:after="0" w:line="158"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or future U.S. administration may impact our business and industry. Namely, the current administration has taken, or may take, several executive actions, including the issuance of a number of executive orders, that could impose significant burdens on, or otherwise materially delay, the FDA’s ability to engage in routine regulatory and oversight activities such as implementing statutes through rulemaking and issuance of guidance. On January 30, 2017, the U.S. president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guidance issued by the Office of Information and Regulatory Affairs within the Office of Management and Budget on April 5,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79" w:lineRule="exact"/>
        <w:rPr>
          <w:sz w:val="20"/>
          <w:szCs w:val="20"/>
          <w:color w:val="auto"/>
        </w:rPr>
      </w:pPr>
    </w:p>
    <w:p>
      <w:pPr>
        <w:ind w:left="200" w:right="300"/>
        <w:spacing w:after="0" w:line="282" w:lineRule="auto"/>
        <w:rPr>
          <w:sz w:val="20"/>
          <w:szCs w:val="20"/>
          <w:color w:val="auto"/>
        </w:rPr>
      </w:pPr>
      <w:r>
        <w:rPr>
          <w:rFonts w:ascii="Arial" w:cs="Arial" w:eastAsia="Arial" w:hAnsi="Arial"/>
          <w:sz w:val="18"/>
          <w:szCs w:val="18"/>
          <w:b w:val="1"/>
          <w:bCs w:val="1"/>
          <w:color w:val="auto"/>
        </w:rPr>
        <w:t>Healthcare cost control initiatives, including healthcare legislative reform measures, may have a material adverse effect on our business and results of operations.</w:t>
      </w:r>
    </w:p>
    <w:p>
      <w:pPr>
        <w:spacing w:after="0" w:line="5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In both the United States and certain foreign jurisdictions, there have been, and are expected to continue to be, a number of legislative and regulatory changes to the health care system that could impact our ability to sell our products profitably. In the United States, however, significant uncertainty exists regarding the provision and financing of health care because the current administration and federal legislators have publicly declared their intention to significantly modify the current legal and regulatory framework for the health care system but details have not been agreed upon or disclosed.</w:t>
      </w:r>
    </w:p>
    <w:p>
      <w:pPr>
        <w:spacing w:after="0" w:line="19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Current legislation at the United States federal and state levels seeks to reduce healthcare costs and improve the quality of healthcare. In March 2010, the Patient Protection and Affordable Care Act (Affordable Care Act) was enacted, which substantially changed the way health care is financed by both governmental and private insurers, and significantly impacted the U.S. pharmaceutical and biotechnology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extends the Medicaid Drug</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Rebate program to utilization of prescriptions of individuals enrolled in Medicaid managed care organizations, subjects manufacturers to new annual fees and taxes for certain branded prescription drugs and biologic agents and provides incentives to programs that increase the federal government’s comparative effectiveness research. At this time, the full effect that the Affordable Care Act would have on our business remains unclear. Further, significant uncertainty exists regarding the future scope and effect of the Affordable Care Act because the current administration and federal legislators have publicly declared their intention to significantly modify or repeal the legislation. We cannot predict the ultimate form or timing of any modification to, or repeal of, the Affordable Care Act or the effect that such modification or repeal would have on our business. Public announcements by the U.S. administration and members of the U.S. Congress have emphasized the administration’s significant interest in pursuing prompt healthcare reform. Such reform efforts and any resulting changes to the Affordable Care Act, or related regulations and laws, could impact our ability to sell our products profitably.</w:t>
      </w:r>
    </w:p>
    <w:p>
      <w:pPr>
        <w:spacing w:after="0" w:line="19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Other legislative changes relevant to the health care system have been adopted in the United States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2024 unless additional Congressional action is taken. In January 2013, the American Taxpayer Relief Act of 2012, was signed into law, which, among other things, further reduced Medicare payments to several providers, including hospitals and other treatment centers, and increased the statute of limitations period for the government to recover overpayments to providers from three to five years. These laws may result in additional reductions in Medicare, Medicaid and other healthcare funding, which could have a material adverse effect on our customers and, accordingly, our financial operations.</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As indicated previously, significant uncertainty exists regarding the future scope and effect of current health care legislation and regulations because the current administration and federal legislators have publicly declared their intention to significantly modify or repeal the current legislative framework. We cannot predict the initiatives that may be adopted in the future, any of which could limit or modify the amounts that foreign, federal and state governments as well as private payors, including patients, will pay for healthcare products and services, which could result in reduced demand for our product candidates or additional pricing pressures.</w:t>
      </w:r>
    </w:p>
    <w:p>
      <w:pPr>
        <w:spacing w:after="0" w:line="165"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continuing efforts of governments, insurance companies, managed care organizations and other payors of healthcare services to contain or reduce costs of healthcare and/or impose price controls could harm our business, financial conditions and prospects and may adversely affect:</w:t>
      </w:r>
    </w:p>
    <w:p>
      <w:pPr>
        <w:spacing w:after="0" w:line="29" w:lineRule="exact"/>
        <w:rPr>
          <w:sz w:val="20"/>
          <w:szCs w:val="20"/>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or utilization of our product candidates, if we obtain regulatory approval;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taxes, fees and rebates that we are required to pay;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including state and foreign programs, may result in a similar denial or reduction in payments from private payors, which may adversely affect our future profitability.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b w:val="1"/>
          <w:bCs w:val="1"/>
          <w:color w:val="auto"/>
        </w:rPr>
        <w:t>Our employees, independent contractors, clinical investigators, CROs, consultants, commercial partners and vendors may engage in misconduct or other improper activities, including noncompliance with regulatory standards and requirements, which could have a material adverse effect on our business.</w:t>
      </w:r>
    </w:p>
    <w:p>
      <w:pPr>
        <w:spacing w:after="0" w:line="72"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are exposed to the risk of non-compliance, fraud, misconduct or other illegal activity by our employees, independent contractors, clinical investigators, CROs, consultants, commercial partners and vendors. Misconduct by these parties could include intentional, reckless and/or negligent conduct that fails to: comply with federal and state laws and those of other applicable jurisdictions; provide true, complete and accurate information to the FDA and other similar foreign regulatory bodies; comply with manufacturing standards; comply with federal and state data privacy, security, fraud and abuse and other healthcare laws and regulations in the United States and similar foreign privacy or fraudulent misconduct laws; or report financial information or data accurately; or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clinical investigators and research patients, as well as proposed and future sales, marketing and education programs. In particular, the promotion, sales and marketing of healthcare products and services, as well as certain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promotion and marketing of off-label uses of our products, structuring and commission(s), certain customer incentive programs and other business arrangements generally.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2" w:lineRule="exact"/>
        <w:rPr>
          <w:sz w:val="20"/>
          <w:szCs w:val="20"/>
          <w:color w:val="auto"/>
        </w:rPr>
      </w:pPr>
    </w:p>
    <w:p>
      <w:pPr>
        <w:ind w:left="200" w:right="640"/>
        <w:spacing w:after="0" w:line="289" w:lineRule="auto"/>
        <w:rPr>
          <w:sz w:val="20"/>
          <w:szCs w:val="20"/>
          <w:color w:val="auto"/>
        </w:rPr>
      </w:pPr>
      <w:r>
        <w:rPr>
          <w:rFonts w:ascii="Arial" w:cs="Arial" w:eastAsia="Arial" w:hAnsi="Arial"/>
          <w:sz w:val="17"/>
          <w:szCs w:val="17"/>
          <w:b w:val="1"/>
          <w:bCs w:val="1"/>
          <w:color w:val="auto"/>
        </w:rPr>
        <w:t>We may be subject, directly or indirectly, to federal and state healthcare fraud and abuse laws, false claims laws, physician payment transparency laws, health information privacy and security laws and anti-corruption laws. If we are unable to comply, or have not fully complied, with such laws or their relevant foreign counterparts, we could face substantial penalties.</w:t>
      </w:r>
    </w:p>
    <w:p>
      <w:pPr>
        <w:spacing w:after="0" w:line="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directly, or indirectly through our customers and third-party payors, subject to various federal and state fraud and abuse laws, including, without limitation, the federal Anti-Kickback Statute, the federal False Claims Act, and physician sunshine laws and regulations. These laws or their relevant foreign counterparts may impact, among other things, our proposed sales, marketing, and education programs and our relationships with healthcare providers, physicians and other parties through which we market, sell and distribute our products for which we obtain marketing approval. In addition, we may be subject to patient privacy regulation by the federal government and the states in the United States as well as other jurisdictions. The laws that may affect our ability to operate include:</w:t>
      </w:r>
    </w:p>
    <w:p>
      <w:pPr>
        <w:spacing w:after="0" w:line="95" w:lineRule="exact"/>
        <w:rPr>
          <w:sz w:val="20"/>
          <w:szCs w:val="20"/>
          <w:color w:val="auto"/>
        </w:rPr>
      </w:pPr>
    </w:p>
    <w:p>
      <w:pPr>
        <w:ind w:left="860" w:right="120" w:hanging="224"/>
        <w:spacing w:after="0" w:line="259"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340"/>
        <w:spacing w:after="0" w:line="277" w:lineRule="auto"/>
        <w:rPr>
          <w:sz w:val="20"/>
          <w:szCs w:val="20"/>
          <w:color w:val="auto"/>
        </w:rPr>
      </w:pPr>
      <w:r>
        <w:rPr>
          <w:rFonts w:ascii="Arial" w:cs="Arial" w:eastAsia="Arial" w:hAnsi="Arial"/>
          <w:sz w:val="18"/>
          <w:szCs w:val="18"/>
          <w:color w:val="auto"/>
        </w:rPr>
        <w:t>Medicare and Medicaid programs. A person or entity does not need to have actual knowledge of the statute or specific intent to violate it in order to have committed a violation;</w:t>
      </w:r>
    </w:p>
    <w:p>
      <w:pPr>
        <w:spacing w:after="0" w:line="76" w:lineRule="exact"/>
        <w:rPr>
          <w:sz w:val="20"/>
          <w:szCs w:val="20"/>
          <w:color w:val="auto"/>
        </w:rPr>
      </w:pPr>
    </w:p>
    <w:p>
      <w:pPr>
        <w:ind w:left="860" w:right="40" w:hanging="224"/>
        <w:spacing w:after="0" w:line="297"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penalties laws, including the civil False Claims Act, which impose criminal and civil penalties on individuals or entities for, among other things, knowingly presenting, or causing to be presented to the U.S. federal government, claims for payment or approval that are false or fraudulent or knowingly making a false statement to avoid, decrease or conceal an obligation to pay money to the federal government. In addition, the government may assert that a claim including items and services resulting from a violation of the U.S. federal Anti-Kickback Statute constitutes a false of fraudulent claim for purposes of the False Claims Act;</w:t>
      </w:r>
    </w:p>
    <w:p>
      <w:pPr>
        <w:spacing w:after="0" w:line="63" w:lineRule="exact"/>
        <w:rPr>
          <w:rFonts w:ascii="Arial" w:cs="Arial" w:eastAsia="Arial" w:hAnsi="Arial"/>
          <w:sz w:val="16"/>
          <w:szCs w:val="16"/>
          <w:color w:val="auto"/>
        </w:rPr>
      </w:pPr>
    </w:p>
    <w:p>
      <w:pPr>
        <w:ind w:left="860" w:right="20" w:hanging="224"/>
        <w:spacing w:after="0" w:line="272" w:lineRule="auto"/>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imposes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3" w:lineRule="exact"/>
        <w:rPr>
          <w:rFonts w:ascii="Arial" w:cs="Arial" w:eastAsia="Arial" w:hAnsi="Arial"/>
          <w:sz w:val="17"/>
          <w:szCs w:val="17"/>
          <w:color w:val="auto"/>
        </w:rPr>
      </w:pPr>
    </w:p>
    <w:p>
      <w:pPr>
        <w:ind w:left="860" w:right="80" w:hanging="224"/>
        <w:spacing w:after="0" w:line="302"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59" w:lineRule="exact"/>
        <w:rPr>
          <w:rFonts w:ascii="Arial" w:cs="Arial" w:eastAsia="Arial" w:hAnsi="Arial"/>
          <w:sz w:val="16"/>
          <w:szCs w:val="16"/>
          <w:color w:val="auto"/>
        </w:rPr>
      </w:pPr>
    </w:p>
    <w:p>
      <w:pPr>
        <w:ind w:left="860" w:hanging="224"/>
        <w:spacing w:after="0" w:line="255"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physician payment transparency requirements, sometimes referred to as the “Physician Payments Sunshine Act,” created under the Affordable Care Act, and their implementing regulations, which require manufacturers of drugs, devices, biologics and medical supplies for which payment is available under Medicare, Medicaid or the Children’s Health Insurance Program to report annually to the Centers for Medicare and Medicaid Services, information related to payments or other transfers of value made to physicians, other healthcare providers, and teaching hospitals, as well as ownership and investment interests held by physicians, other healthcare providers, and their immediate family members;</w:t>
      </w:r>
    </w:p>
    <w:p>
      <w:pPr>
        <w:spacing w:after="0" w:line="98" w:lineRule="exact"/>
        <w:rPr>
          <w:rFonts w:ascii="Arial" w:cs="Arial" w:eastAsia="Arial" w:hAnsi="Arial"/>
          <w:sz w:val="18"/>
          <w:szCs w:val="18"/>
          <w:color w:val="auto"/>
        </w:rPr>
      </w:pPr>
    </w:p>
    <w:p>
      <w:pPr>
        <w:ind w:left="860" w:right="80" w:hanging="224"/>
        <w:spacing w:after="0" w:line="342"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Foreign Corrupt Practices Act (FCPA) and other laws which prohibit improper payments or offers of payments to foreign governments and their officials and political parties by U.S. persons and issuers as defined by the statute for the purpose of obtaining or retaining business; and</w:t>
      </w:r>
    </w:p>
    <w:p>
      <w:pPr>
        <w:spacing w:after="0" w:line="29" w:lineRule="exact"/>
        <w:rPr>
          <w:rFonts w:ascii="Arial" w:cs="Arial" w:eastAsia="Arial" w:hAnsi="Arial"/>
          <w:sz w:val="16"/>
          <w:szCs w:val="16"/>
          <w:color w:val="auto"/>
        </w:rPr>
      </w:pPr>
    </w:p>
    <w:p>
      <w:pPr>
        <w:ind w:left="860" w:right="200" w:hanging="224"/>
        <w:spacing w:after="0" w:line="264"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commercialization of adulterated or misbranded of drugs and medical devices, and the Public Health Service Act, which prohibits, among other things, the commercialization of biological products unless a biologics license is in effect.</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Because of the breadth of these laws and the limited statutory exceptions and safe harbors available, it is possible that some of our business activities could be subject to challenge under one or more of such laws. In addition, recent health care reform legislation has strengthened these laws. For example, the Affordable Care Act, among other things, amends the intent requirement of the federal Anti-Kickback Statute and criminal healthcare fraud statutes. As a result of such amendment, a person or entity no longer needs to have actual knowledge of these statutes or specific intent to violate them in order to have committed a violation. Moreover, the Affordable Care Act provides that the government may assert that a claim including items or services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resulting from a violation of the federal Anti-Kickback Statute constitutes a false or fraudulent claim for purposes of the False Claims Act.</w:t>
      </w:r>
    </w:p>
    <w:p>
      <w:pPr>
        <w:spacing w:after="0" w:line="225"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increasingly global nature of our business operations subjects us to domestic and foreign anti-bribery and anti-corruption laws and regulations, such as the FCPA. Activities conducted in jurisdictions outside of the U.S. create the risk of unauthorized payments or offers of payments that are prohibited under the FCPA or comparable laws and regulations. It is our policy to implement safeguards to discourage these practices by our employees. However, these safeguards may ultimately prove ineffective, and our employees, consultants, and agents may engage in conduct for which we might be held responsible. Violations of the FCPA may result in severe criminal or civil sanctions, and we may be subject to other liabilities, which could negatively affect our business, operating results and financial condition.</w:t>
      </w:r>
    </w:p>
    <w:p>
      <w:pPr>
        <w:spacing w:after="0" w:line="17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as well as other domestic and foreign legal requirements will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U.S. federal healthcare programs, contractual damages, reputational harm, diminished profits and future earnings, and curtailment or restructuring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271" w:lineRule="exact"/>
        <w:rPr>
          <w:sz w:val="20"/>
          <w:szCs w:val="20"/>
          <w:color w:val="auto"/>
        </w:rPr>
      </w:pPr>
    </w:p>
    <w:p>
      <w:pPr>
        <w:ind w:left="200" w:right="360"/>
        <w:spacing w:after="0" w:line="282" w:lineRule="auto"/>
        <w:rPr>
          <w:sz w:val="20"/>
          <w:szCs w:val="20"/>
          <w:color w:val="auto"/>
        </w:rPr>
      </w:pPr>
      <w:r>
        <w:rPr>
          <w:rFonts w:ascii="Arial" w:cs="Arial" w:eastAsia="Arial" w:hAnsi="Arial"/>
          <w:sz w:val="18"/>
          <w:szCs w:val="18"/>
          <w:b w:val="1"/>
          <w:bCs w:val="1"/>
          <w:color w:val="auto"/>
        </w:rPr>
        <w:t>If we fail to comply with environmental, health and safety, and laboratory animal welfare laws and regulations, we could become subject to fines or penalties or incur costs that could harm our business.</w:t>
      </w:r>
    </w:p>
    <w:p>
      <w:pPr>
        <w:spacing w:after="0" w:line="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subject to numerous federal, state and local environmental, health and safety, and laboratory animal welfare laws and regulations. These legal requirements include those governing laboratory procedures and the handling, use, storage, treatment and disposal of hazardous materials and wastes as well as those which regulate the care and use of animals in research. Our operations will involve research using research animals and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9" w:lineRule="exact"/>
        <w:rPr>
          <w:sz w:val="20"/>
          <w:szCs w:val="20"/>
          <w:color w:val="auto"/>
        </w:rPr>
      </w:pPr>
    </w:p>
    <w:p>
      <w:pPr>
        <w:jc w:val="both"/>
        <w:ind w:left="200" w:right="620" w:firstLine="441"/>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and laboratory animal welfare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ind w:left="200" w:right="560"/>
        <w:spacing w:after="0" w:line="282" w:lineRule="auto"/>
        <w:rPr>
          <w:sz w:val="20"/>
          <w:szCs w:val="20"/>
          <w:color w:val="auto"/>
        </w:rPr>
      </w:pPr>
      <w:r>
        <w:rPr>
          <w:rFonts w:ascii="Arial" w:cs="Arial" w:eastAsia="Arial" w:hAnsi="Arial"/>
          <w:sz w:val="18"/>
          <w:szCs w:val="18"/>
          <w:b w:val="1"/>
          <w:bCs w:val="1"/>
          <w:color w:val="auto"/>
        </w:rPr>
        <w:t>Third-party claims of intellectual property infringement against us, our licensors or our collaborators may prevent or delay our product discovery and development efforts.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commercial success depends in part on our avoiding infringement of the valid patents and proprietary rights of third parties.</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We cannot guarantee that our technology, future product candidates or the use of such product candidates do not infringe third-party patents. It is also possible that we have failed to identify relevant third-party patents or applications.</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Third parties may assert that we infringe their patents or that we are otherwise employing their proprietary technology without authorization, and may sue us. There may be third-party patents of which we are currently unaware with claims to compositions, formulations, methods of manufacture or methods of use or treatment that cover product candidates we discover and develop.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or the manufacture, use or sale of our product candidates infringes upon these patents. If any such third-party patents were held by a court of competent jurisdiction to cover our technologies or product candidates, the holders of any such patents may be able to block our ability to commercialize the applicable product candidate unless we obtain a license under the applicable patents, or until such patents expire or are finally determined to be held invalid or unenforceable. Such a license may not be available on commercially reasonable terms or at all. If we are unable to obtain a necessary license to a third-party patent on commercially reasonable terms, our ability to commercialize our product candidates may be impaired or delayed, which could in turn significantly harm our business.</w:t>
      </w:r>
    </w:p>
    <w:p>
      <w:pPr>
        <w:spacing w:after="0" w:line="16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Third parties asserting their patent rights against us may seek and obtain injunctive or other equitable relief, which could effectively block our ability to further develop and commercialize our product candidates. For example, the Broad Institute patent family includes issued patents in the U.S. and Europe that purport to cover certain aspects of the CRISPR/Cas9 gene editing platform for use on eukaryotic cells, including human cells. In January 2016, an interference proceeding was declared in the U.S. Patent and Trademark Office (USPTO) between the claims from one UC/Vienna/Charpentier patent application we license through Caribou and certain U.S. patents and one application of the Broad Institute patent family to determine which set of inventors invented first and, thus, is entitled to patents on the invention in the United States. In February 2017, the PTAB dismissed the interference proceeding without making any decision regarding inventorship or priority between the patents and applications at issue. It is now possible that the Broad Institute could seek to assert its patent family against us based on our CRISPR/Cas9-based activities, including commercialization. Defense of these or similar claims, regardless of their merit, would involve substantial litigation expense, would be a substantial diversion of management and other employee resources from our business and may impact our reputation. In the event of a successful claim of infringement against us, we may have to pay substantial damages, including treble damages and attorneys’ fees for any adjudicated willful infringement, obtain one or more licenses from third parties, pay royalties or redesign our infringing products, which may be impossible or require substantial time and monetary expenditure. In that event, we may be unable to further develop and commercialize our product candidates, which could harm our business significantly.</w:t>
      </w:r>
    </w:p>
    <w:p>
      <w:pPr>
        <w:spacing w:after="0" w:line="185"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If we are found to infringe a third party’s valid intellectual property rights, we could be required to obtain a license from such third party to continue developing and marketing our products and technology. However, we may not be able to obtain any required license on commercially reasonable terms or at all. Even if we were able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to obtain a license, it could be non-exclusive, thereby giving our competitors access to the same technologies licensed to us. We could be forced, including by court order, to cease commercializing, manufacturing or importing the infringing technology or product. In addition, we could be found liable for monetary damages, including treble damages and attorneys’ fees if we are found to have willfully infringed a patent. A finding of infringement could prevent us from commercializing one or more of our product candidates, force us to redesign our infringing products or force us to cease some or all of our business operations, any of which could materially harm our business and could prevent us from further developing and commercializing our proposed future product candidates thereby causing us significant harm. Claims that we have misappropriated the confidential information or trade secrets of third parties could have a similar negative impact on our business.</w:t>
      </w:r>
    </w:p>
    <w:p>
      <w:pPr>
        <w:spacing w:after="0" w:line="282" w:lineRule="exact"/>
        <w:rPr>
          <w:sz w:val="20"/>
          <w:szCs w:val="20"/>
          <w:color w:val="auto"/>
        </w:rPr>
      </w:pPr>
    </w:p>
    <w:p>
      <w:pPr>
        <w:ind w:left="200"/>
        <w:spacing w:after="0" w:line="314" w:lineRule="auto"/>
        <w:rPr>
          <w:sz w:val="20"/>
          <w:szCs w:val="20"/>
          <w:color w:val="auto"/>
        </w:rPr>
      </w:pPr>
      <w:r>
        <w:rPr>
          <w:rFonts w:ascii="Arial" w:cs="Arial" w:eastAsia="Arial" w:hAnsi="Arial"/>
          <w:sz w:val="16"/>
          <w:szCs w:val="16"/>
          <w:b w:val="1"/>
          <w:bCs w:val="1"/>
          <w:color w:val="auto"/>
        </w:rPr>
        <w:t>Under our license agreement with Caribou, we sublicense a patent family from The Regents of the University of California and the University of Vienna that is co-owned by Dr. Emmanuel Charpentier. The outcome of recent proceedings, as well as potential future proceedings, related to this patent family may affect our ability to utilize the intellectual property sublicensed under our license agreement with Caribou.</w:t>
      </w:r>
    </w:p>
    <w:p>
      <w:pPr>
        <w:spacing w:after="0" w:line="3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The Broad Institute patent family includes issued patents in the U.S. and Europe that purport to cover certain aspects of the CRISPR/Cas9 gene editing platform for use on eukaryotic cells, including human cells. On January 11, 2016, the PTAB declared an interference proceeding between certain patents and a patent application of the Broad Institute patent family and one UC/Vienna/Charpentier patent application to determine, based on priority of invention, whether the contested inventions belong either to UC/Vienna/Charpentier or to the Broad Institute in the United States. This interference proceeding was discontinued by the PTAB in February 2017 without any finding regarding inventorship or priority. In discontinuing the interference proceeding, the PTAB found that the claim sets presented by the two parties were “patentably distinct” from each other and, thus, did not meet the statutory requirements for continuing the proceeding. In April 2017, UC/Vienna/Charpentier appealed to the U.S. Court of Appeals for the Federal Circuit seeking a review and reversal of the PTAB’s decision to terminate the interference, and, on July 25, 2017, they filed their opening brief supporting their appeal. Unless otherwise resolved, the Federal Circuit is expected to render a decision after the parties submit their respective legal positions. In addition, UC/Vienna/Charpentier continue to prosecute other patent claims covering the CRISPR/Cas9 inventions, which could also result in allowable or issued patents in the United States. Certain of the claims being prosecuted by UC/Vienna/Charpentier, if found allowable by the USPTO, could lead to interference proceedings against patents or patent applications owned by other parties, including the Broad Institute patent family, with respect to certain claims expressly relating to the use of CRISPR/Cas9 in eukaryotic cells. We cannot be certain which of these results, if any, will actually occur. Further, the effects that any such results may have on us and our intellectual property position, including whether UC/Vienna/Charpentier will ultimately be successful in prosecuting to issuance a patent covering the CRISPR/Cas9 system that we are able to use under our license agreement with Caribou, are currently unknown. The Broad could seek to assert its issued patents against us based on our CRISPR/Cas9-based activities, including commercialization. Defense of these claims, regardless of their merit, would involve substantial litigation expense, would be a substantial diversion of management and other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In that event, we could be unable to further develop and commercialize our product candidates, which could harm our business significantly.</w:t>
      </w:r>
    </w:p>
    <w:p>
      <w:pPr>
        <w:spacing w:after="0" w:line="18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addition, other third parties, such as Vilnius University, ToolGene, Inc., MilliporeSigma (a subsidiary of Merck KGaA) and Harvard University, filed patent applications claiming CRISPR/Cas9-related inventions around or soon after the UC/Vienna/Charpentier application was filed and, therefore, may claim that they invented the invention before UC/Vienna/Charpentier. If the USPTO deems the scope of the claims of one or more of these parties to sufficiently overlap with the allowable claims from the UC/Vienna/Charpentier application, the USPTO could declare other interference proceedings to determine the actual inventor of such claims. If UC/Vienna/Charpentier fail in defending their inventorship priority on any of these claims, we may</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lose valuable intellectual property rights, such as the exclusive right to use, such intellectual property. Such an outcome could have a material adverse effect on our business. Even if we are successful in defending against such claims, any disputes could result in substantial costs and be a distraction to management and other employees.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may in the future be subject to claims that former employees, collaborators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For example, the UC/Vienna/Charpentier patent family that is covered by our license agreement with Caribou is co-owned by UC/Vienna and Dr. Charpentier, and our sublicense rights are derived from the first two co-owners and not from Dr. Charpentier. Therefore, our rights to these patents are not exclusive and third parties, including competitors, may have access to intellectual property that is important to our business. In addition, we may have inventorship disputes arise from conflicting obligations of collaborators, consultants or others who are involved in developing our technology and product candidates. Litigation or other legal proceedings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7" w:lineRule="exact"/>
        <w:rPr>
          <w:sz w:val="20"/>
          <w:szCs w:val="20"/>
          <w:color w:val="auto"/>
        </w:rPr>
      </w:pPr>
    </w:p>
    <w:p>
      <w:pPr>
        <w:ind w:left="200" w:right="180"/>
        <w:spacing w:after="0" w:line="282" w:lineRule="auto"/>
        <w:rPr>
          <w:sz w:val="20"/>
          <w:szCs w:val="20"/>
          <w:color w:val="auto"/>
        </w:rPr>
      </w:pPr>
      <w:r>
        <w:rPr>
          <w:rFonts w:ascii="Arial" w:cs="Arial" w:eastAsia="Arial" w:hAnsi="Arial"/>
          <w:sz w:val="18"/>
          <w:szCs w:val="18"/>
          <w:b w:val="1"/>
          <w:bCs w:val="1"/>
          <w:color w:val="auto"/>
        </w:rPr>
        <w:t>We depend on intellectual property licensed from third parties and termination or modification of any of these licenses could result in the loss of significant rights, which would harm our business.</w:t>
      </w:r>
    </w:p>
    <w:p>
      <w:pPr>
        <w:spacing w:after="0" w:line="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dependent on patents, know-how and proprietary technology, both our own and licensed from others, including Caribou and Novartis. Any termination of these licenses, or a finding that such intellectual property lacks legal effect, could result in the loss of significant rights and could harm our ability to commercialize any product candidates.</w:t>
      </w:r>
    </w:p>
    <w:p>
      <w:pPr>
        <w:spacing w:after="0" w:line="181" w:lineRule="exact"/>
        <w:rPr>
          <w:sz w:val="20"/>
          <w:szCs w:val="20"/>
          <w:color w:val="auto"/>
        </w:rPr>
      </w:pPr>
    </w:p>
    <w:p>
      <w:pPr>
        <w:ind w:left="200" w:right="600" w:firstLine="441"/>
        <w:spacing w:after="0" w:line="342" w:lineRule="auto"/>
        <w:rPr>
          <w:sz w:val="20"/>
          <w:szCs w:val="20"/>
          <w:color w:val="auto"/>
        </w:rPr>
      </w:pPr>
      <w:r>
        <w:rPr>
          <w:rFonts w:ascii="Arial" w:cs="Arial" w:eastAsia="Arial" w:hAnsi="Arial"/>
          <w:sz w:val="16"/>
          <w:szCs w:val="16"/>
          <w:color w:val="auto"/>
        </w:rPr>
        <w:t>Disputes have and may arise between us and our licensors, our licensors and their licensors, or us and third parties that co-own intellectual property with our licensors or their licensors, regarding intellectual property subject to a license agreement, including those relating to:</w:t>
      </w:r>
    </w:p>
    <w:p>
      <w:pPr>
        <w:spacing w:after="0" w:line="29" w:lineRule="exact"/>
        <w:rPr>
          <w:sz w:val="20"/>
          <w:szCs w:val="20"/>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if any, granted under the license agreement and other interpretation-related issues;</w:t>
      </w:r>
    </w:p>
    <w:p>
      <w:pPr>
        <w:spacing w:after="0" w:line="130"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or derive from, intellectual property of the licensor that is not subject to the license agreement;</w:t>
      </w:r>
    </w:p>
    <w:p>
      <w:pPr>
        <w:spacing w:after="0" w:line="75"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 or whether they are compliant with their contractual obligations to their respective licensor(s);</w:t>
      </w:r>
    </w:p>
    <w:p>
      <w:pPr>
        <w:spacing w:after="0" w:line="75"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without their authorization;</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including those under collaborative development relationships;</w:t>
      </w:r>
    </w:p>
    <w:p>
      <w:pPr>
        <w:spacing w:after="0" w:line="130" w:lineRule="exact"/>
        <w:rPr>
          <w:rFonts w:ascii="Arial" w:cs="Arial" w:eastAsia="Arial" w:hAnsi="Arial"/>
          <w:sz w:val="18"/>
          <w:szCs w:val="18"/>
          <w:color w:val="auto"/>
        </w:rPr>
      </w:pPr>
    </w:p>
    <w:p>
      <w:pPr>
        <w:ind w:left="860" w:right="840" w:hanging="2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we are complying with our obligations with respect to the use of the licensed technology in relation to our development and commercialization of product candidates;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involvement in the prosecution, defense and enforcement of the licensed patents and our licensors’ overall patent strategy;</w:t>
      </w:r>
    </w:p>
    <w:p>
      <w:pPr>
        <w:spacing w:after="0" w:line="130" w:lineRule="exact"/>
        <w:rPr>
          <w:rFonts w:ascii="Arial" w:cs="Arial" w:eastAsia="Arial" w:hAnsi="Arial"/>
          <w:sz w:val="18"/>
          <w:szCs w:val="18"/>
          <w:color w:val="auto"/>
        </w:rPr>
      </w:pPr>
    </w:p>
    <w:p>
      <w:pPr>
        <w:ind w:left="860" w:right="60" w:hanging="2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and by us and our partners;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w:t>
      </w:r>
    </w:p>
    <w:p>
      <w:pPr>
        <w:spacing w:after="0" w:line="291"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We depend, in part, on our licensors to file, prosecute, maintain, defend and enforce patents and patent applications that are material to our business.</w:t>
      </w:r>
    </w:p>
    <w:p>
      <w:pPr>
        <w:spacing w:after="0" w:line="5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Patents relating to our product candidates are controlled by certain of our licensors or their respective licensors. Each of our licensors or their licensors generally has rights to file, prosecute, maintain and defend the patents we have licensed from such licensor. If these licensors or any future licensees and in some cases, co-owners from which we do not yet have licenses, having rights to file, prosecute, maintain, and defend our patent rights fail to adequately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by our licensors or their respective licensors have been or will be conducted in compliance with applicable laws and regulations or in our best interests, or will result in valid and enforceable patents or other intellectual property rights. Pursuant to the terms of the license agreements with our licensors, the licensors may have the right to control enforcement of our licensed patents or defense of any claims asserting the invalidity of these patents and, even if we are permitted to pursue such enforcement or defense, we cannot ensure the cooperation of our licensors or, in some cases, other necessary parties, such as the co-owners of the intellectual property from which we have not yet obtained a license. We cannot be certain that our licensors or their licensors, and in some cases, their respective co-owners, will allocate sufficient resources or prioritize their or our enforcement of such patents or defense of such claims to protect our interests in the licensed patents. For example, with respect to our sublicensed rights from Caribou to UC/Vienna/Charpentier intellectual property, UC retained the right to control the prosecution, enforcement and defense of this intellectual property in its license agreement with Caribou and, pursuant to the Invention Management Agreement, shares these responsibilities with CRISPR Therapeutics and, under certain circumstances, ERS, as the designated managers of the intellectual property.</w:t>
      </w:r>
    </w:p>
    <w:p>
      <w:pPr>
        <w:spacing w:after="0" w:line="16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Even if we are not a party to legal actions or other disputes involving our licensed intellectual property,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w:t>
      </w:r>
    </w:p>
    <w:p>
      <w:pPr>
        <w:spacing w:after="0" w:line="292" w:lineRule="exact"/>
        <w:rPr>
          <w:sz w:val="20"/>
          <w:szCs w:val="20"/>
          <w:color w:val="auto"/>
        </w:rPr>
      </w:pPr>
    </w:p>
    <w:p>
      <w:pPr>
        <w:ind w:left="200" w:right="540"/>
        <w:spacing w:after="0" w:line="282" w:lineRule="auto"/>
        <w:rPr>
          <w:sz w:val="20"/>
          <w:szCs w:val="20"/>
          <w:color w:val="auto"/>
        </w:rPr>
      </w:pPr>
      <w:r>
        <w:rPr>
          <w:rFonts w:ascii="Arial" w:cs="Arial" w:eastAsia="Arial" w:hAnsi="Arial"/>
          <w:sz w:val="18"/>
          <w:szCs w:val="18"/>
          <w:b w:val="1"/>
          <w:bCs w:val="1"/>
          <w:color w:val="auto"/>
        </w:rPr>
        <w:t>We may not be successful in obtaining or maintaining necessary rights to product components and processes or other technology for our product development pipeline.</w:t>
      </w:r>
    </w:p>
    <w:p>
      <w:pPr>
        <w:spacing w:after="0" w:line="5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growth of our business will likely depend in part on our ability to acquire or in-license additional proprietary rights. For example, our programs may involve additional product candidates, delivery systems or technologies that may require the use of additional proprietary rights held by third parties. Our ultimate product candidates may also require specific modifications or formulations to work effectively and efficiently. These modifications or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2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9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If we are unable to successfully obtain rights to valid third-party intellectual property or to maintain the existing intellectual property rights we have, we may have to abandon development of such program and our business and financial condition could suffer.</w:t>
      </w:r>
    </w:p>
    <w:p>
      <w:pPr>
        <w:spacing w:after="0" w:line="275" w:lineRule="exact"/>
        <w:rPr>
          <w:sz w:val="20"/>
          <w:szCs w:val="20"/>
          <w:color w:val="auto"/>
        </w:rPr>
      </w:pPr>
    </w:p>
    <w:p>
      <w:pPr>
        <w:ind w:left="200" w:right="320"/>
        <w:spacing w:after="0" w:line="282" w:lineRule="auto"/>
        <w:rPr>
          <w:sz w:val="20"/>
          <w:szCs w:val="20"/>
          <w:color w:val="auto"/>
        </w:rPr>
      </w:pPr>
      <w:r>
        <w:rPr>
          <w:rFonts w:ascii="Arial" w:cs="Arial" w:eastAsia="Arial" w:hAnsi="Arial"/>
          <w:sz w:val="18"/>
          <w:szCs w:val="18"/>
          <w:b w:val="1"/>
          <w:bCs w:val="1"/>
          <w:color w:val="auto"/>
        </w:rPr>
        <w:t>We could be unsuccessful in obtaining or maintaining adequate patent protection for one or more of our products or product candidates, or asserting and defending our intellectual property rights that protect our products and technologies.</w:t>
      </w:r>
    </w:p>
    <w:p>
      <w:pPr>
        <w:spacing w:after="0" w:line="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anticipate that we will file additional patent applications both in the United States and in other countries, as appropriate. However, we cannot predict:</w:t>
      </w:r>
    </w:p>
    <w:p>
      <w:pPr>
        <w:spacing w:after="0" w:line="76" w:lineRule="exact"/>
        <w:rPr>
          <w:sz w:val="20"/>
          <w:szCs w:val="20"/>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when any patents will issue;</w:t>
      </w:r>
    </w:p>
    <w:p>
      <w:pPr>
        <w:spacing w:after="0" w:line="130" w:lineRule="exact"/>
        <w:rPr>
          <w:rFonts w:ascii="Arial" w:cs="Arial" w:eastAsia="Arial" w:hAnsi="Arial"/>
          <w:sz w:val="18"/>
          <w:szCs w:val="18"/>
          <w:color w:val="auto"/>
        </w:rPr>
      </w:pPr>
    </w:p>
    <w:p>
      <w:pPr>
        <w:ind w:left="860" w:right="520" w:hanging="224"/>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degree and range of protection any issued patents will afford us against competitors, including whether third parties will find ways to invalidate or otherwise circumvent our patents;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others will apply for or obtain patents claiming aspects similar to those covered by our patents and patent applications; or</w:t>
      </w:r>
    </w:p>
    <w:p>
      <w:pPr>
        <w:spacing w:after="0" w:line="130"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assert or defend our patent rights, which may be costly whether we win or lose.</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any claims in our pending or future patent applications covering the composition of matter of our product candidates will be considered patentable by the USPTO or by patent offices in foreign countries, or that the claims in any of our ultimately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prosecute.</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strength of patents in the biotechnology and pharmaceutical field can be uncertain, and evaluating the scope of such patents involves complex legal and scientific analyses. The patent applications that we own or in-license may fail to result in issued patents with claims that cover any product candidates or uses thereof in the United States or in other foreign countries.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Further, the patent prosecution process is expensive and time-consuming, and we may not be able to file and prosecute all necessary or desirable patent applications at a reasonable cost, in a timely manner, or in all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jurisdictions.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or other necessary parties, such as the co-owners of the intellectual property from which we have not yet obtained a license, in order to enforce the licensed patent rights, and such cooperation may not be provided. Therefore, these patents and applications may not be prosecuted and enforced in a manner consistent with the best interests of our business.</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will be unable to know with certainty whether we were the first to make any inventions claimed in any patents or patent applications, or that we were the first to file for patent protection of such inventions, nor can we know whether those from whom we license patents were the first to make the inventions claimed or were the first to file.</w:t>
      </w:r>
    </w:p>
    <w:p>
      <w:pPr>
        <w:spacing w:after="0" w:line="18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There is a substantial amount of litigation as well as administrative proceedings for challenging patents, including interference, derivation, and reexamination proceedings before the USPTO and oppositions and other comparable proceedings in foreign jurisdictions, involving patents and other intellectual property rights in the biotechnology and pharmaceutical industries, and we expect this to be true for the CRISPR/Cas9 space as well. For example, as of September 30, 2017, a number of third parties have filed oppositions challenging the validity, and seeking the revocation, of the CRISPR/Cas9 genome editing patent granted to UC/Vienna/Charpentier by the European Patent Office on May 10, 2017.</w:t>
      </w:r>
    </w:p>
    <w:p>
      <w:pPr>
        <w:spacing w:after="0" w:line="18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In addition, since the passage of the America Invents Act in 2013, U.S. law also provides for other procedures to challenge patents, including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reviews and post-grant reviews, that add uncertainty to the possibility of challenge to our developed or licensed patents and patent applications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w:t>
      </w:r>
    </w:p>
    <w:p>
      <w:pPr>
        <w:spacing w:after="0" w:line="18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is threatened, this could dissuade companies from collaborating with us to develop, and could threaten our ability to commercialize, product candidates. Further, if we encounter delays in our clinical trials, the period of time during which we could market product candidates under patent protection would be reduced. Because patent applications in the United States and most other countries are confidential for a period of time after filing, we cannot be certain that we were the first to file any patent application related to our product candidates.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Litigation or other administrative proceedings challenging our intellectual property, including interferences,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and post-grant reviews, may result in a decision adverse to our interests and, even if we are successful, may result in substantial costs and distract our management and other employees. Furthermore, there could be public announcement of the results of hearings, motions or other interim proceedings or developments in any proceeding challenging the issuance, scope, validity and enforceability of our developed or licensed intellectual property. If securities analysts or investors perceive these results to be negative, it could have a substantial adverse effect on the price of our common stock.</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Any of these potential negative developments could impact the scope, validity, enforceability or commercial value of our patent rights and, as a result, have material adverse effect on our business, financial condition, results of operations or prospects.</w:t>
      </w:r>
    </w:p>
    <w:p>
      <w:pPr>
        <w:spacing w:after="0" w:line="275" w:lineRule="exact"/>
        <w:rPr>
          <w:sz w:val="20"/>
          <w:szCs w:val="20"/>
          <w:color w:val="auto"/>
        </w:rPr>
      </w:pPr>
    </w:p>
    <w:p>
      <w:pPr>
        <w:ind w:left="200" w:right="240"/>
        <w:spacing w:after="0" w:line="282" w:lineRule="auto"/>
        <w:rPr>
          <w:sz w:val="20"/>
          <w:szCs w:val="20"/>
          <w:color w:val="auto"/>
        </w:rPr>
      </w:pPr>
      <w:r>
        <w:rPr>
          <w:rFonts w:ascii="Arial" w:cs="Arial" w:eastAsia="Arial" w:hAnsi="Arial"/>
          <w:sz w:val="18"/>
          <w:szCs w:val="18"/>
          <w:b w:val="1"/>
          <w:bCs w:val="1"/>
          <w:color w:val="auto"/>
        </w:rPr>
        <w:t>Confidentiality agreements with employees and third parties may not prevent unauthorized disclosure of trade secrets and other proprietary information.</w:t>
      </w:r>
    </w:p>
    <w:p>
      <w:pPr>
        <w:spacing w:after="0" w:line="5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or that we elect not to patent. We also utilize proprietary processes for which patents are difficult to enforce. In addition, other elements of our product discovery and development processes involve proprietary know-how, information, or technology that is not covered by patents. Trade secrets, however, may be difficult to protect. We seek to protect our proprietary processes, in part, by entering into confidentiality agreements with our employees, consultants, outside scientific advisors, contractors, and collaborators.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We have limited foreign intellectual property rights and may not be able to protect our intellectual property rights throughout the world.</w:t>
      </w:r>
    </w:p>
    <w:p>
      <w:pPr>
        <w:spacing w:after="0" w:line="133"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have limited intellectual property rights outside the United States. Filing, prosecuting, maintaining and defending patents on product candidates in all countries throughout the world would be prohibitively expensive, and our intellectual property rights in some countries outside the United States can have a different scope and strength than do those in the United States. In addition, the laws of some foreign countries, such as China, Brazil, Russia, India, and South Africa,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strong as those in the United States. These products may compete with our products and our patents or other intellectual property rights may not be effective or adequate to prevent them from competing. Further, in jurisdictions outside the United States, a license may not be enforceable unless all the owners of the intellectual property agree or consent to the license.</w:t>
      </w:r>
    </w:p>
    <w:p>
      <w:pPr>
        <w:spacing w:after="0" w:line="18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such as China, Brazil, Russia, India, and South Africa,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2"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We may be involved in lawsuits to protect or enforce our patents or the patents of our licensors, which could be expensive, time-consuming, and unsuccessful.</w:t>
      </w:r>
    </w:p>
    <w:p>
      <w:pPr>
        <w:spacing w:after="0" w:line="5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cease such infringement or unauthorized use, we may be required to file patent infringement claims, which can be expensive and time-consuming.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1" w:lineRule="exact"/>
        <w:rPr>
          <w:sz w:val="20"/>
          <w:szCs w:val="20"/>
          <w:color w:val="auto"/>
        </w:rPr>
      </w:pPr>
    </w:p>
    <w:p>
      <w:pPr>
        <w:ind w:left="200" w:right="720"/>
        <w:spacing w:after="0" w:line="282" w:lineRule="auto"/>
        <w:rPr>
          <w:sz w:val="20"/>
          <w:szCs w:val="20"/>
          <w:color w:val="auto"/>
        </w:rPr>
      </w:pPr>
      <w:r>
        <w:rPr>
          <w:rFonts w:ascii="Arial" w:cs="Arial" w:eastAsia="Arial" w:hAnsi="Arial"/>
          <w:sz w:val="18"/>
          <w:szCs w:val="18"/>
          <w:b w:val="1"/>
          <w:bCs w:val="1"/>
          <w:color w:val="auto"/>
        </w:rPr>
        <w:t>Issued patents covering our product candidates could be found invalid or unenforceable if challenged in court or before the USPTO or comparable foreign authority.</w:t>
      </w:r>
    </w:p>
    <w:p>
      <w:pPr>
        <w:spacing w:after="0" w:line="5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we or one of our licensing partners initiate legal proceedings against a third party to enforce a patent covering one of our product candidates, the defendant could counterclaim that the patent covering our product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9" w:lineRule="auto"/>
        <w:rPr>
          <w:sz w:val="20"/>
          <w:szCs w:val="20"/>
          <w:color w:val="auto"/>
        </w:rPr>
      </w:pPr>
      <w:r>
        <w:rPr>
          <w:rFonts w:ascii="Arial" w:cs="Arial" w:eastAsia="Arial" w:hAnsi="Arial"/>
          <w:sz w:val="16"/>
          <w:szCs w:val="16"/>
          <w:color w:val="auto"/>
        </w:rPr>
        <w:t xml:space="preserve">candidate is invalid or unenforceable. In patent litigation in the United States, defendant counterclaims alleging invalidity or unenforceability are commonplace, and there are numerous grounds upon which a third party can assert invalidity or unenforceability of a patent. Third parties may also raise similar claims before administrative bodies in the United States or other jurisdictions,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would lose at least part, and perhaps all, of the patent protection on our product candidates. Such a loss of patent protection could have a material adverse impact on our business.</w:t>
      </w:r>
    </w:p>
    <w:p>
      <w:pPr>
        <w:spacing w:after="0" w:line="271"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We may be subject to claims that our employees, consultants, or independent contractors have wrongfully used or disclosed confidential information of third parties.</w:t>
      </w:r>
    </w:p>
    <w:p>
      <w:pPr>
        <w:spacing w:after="0" w:line="5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have received confidential and proprietary information from third parties. In addition, we employ individuals who were previously employed at other biotechnology or pharmaceutical companies as well as academic research institutions.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277" w:lineRule="exact"/>
        <w:rPr>
          <w:sz w:val="20"/>
          <w:szCs w:val="20"/>
          <w:color w:val="auto"/>
        </w:rPr>
      </w:pPr>
    </w:p>
    <w:p>
      <w:pPr>
        <w:ind w:left="200" w:right="26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be required to pay certain milestones and royalties under our license agreements with third-party licensors.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our current and future license agreements, we may be required to pay milestones and royalties based on our revenues from sales of our products utilizing the technologies licensed or sublicensed from third parties, including Caribou, Novartis and Regeneron, and these royalty payments could adversely affect the overall profitability for us of any products that we may seek to commercialize. In order to maintain our license rights under these license agreements, we will need to meet certain specified milestones, subject to certain cure provisions, in the development of our product candidates and in the raising of funding. In addition, these agreements contain diligence milestones and we may not be successful in meeting all of the milestones in the future on a timely basis or at all. We will need to outsource and rely on third parties for many aspects of the clinical development, sales and marketing of our products covered under our license agreements. Delay or failure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these third parties could adversely affect the continuation of our license agreements with their third-party licensors.</w:t>
      </w:r>
    </w:p>
    <w:p>
      <w:pPr>
        <w:spacing w:after="0" w:line="329"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business may be adversely affected.</w:t>
      </w:r>
    </w:p>
    <w:p>
      <w:pPr>
        <w:spacing w:after="0" w:line="5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7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 active trading market for our common stock may not be sustained.</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May 2016, we closed our initial public offering. Prior to that offering, there was no public market for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269" w:lineRule="exact"/>
        <w:rPr>
          <w:sz w:val="20"/>
          <w:szCs w:val="20"/>
          <w:color w:val="auto"/>
        </w:rPr>
      </w:pPr>
    </w:p>
    <w:p>
      <w:pPr>
        <w:ind w:left="200" w:right="360"/>
        <w:spacing w:after="0" w:line="28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difficult, limit attempts by our stockholders to replace or remove our current management and adversely affect our stock price.</w:t>
      </w:r>
    </w:p>
    <w:p>
      <w:pPr>
        <w:spacing w:after="0" w:line="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 will:</w:t>
      </w:r>
    </w:p>
    <w:p>
      <w:pPr>
        <w:spacing w:after="0" w:line="92" w:lineRule="exact"/>
        <w:rPr>
          <w:sz w:val="20"/>
          <w:szCs w:val="20"/>
          <w:color w:val="auto"/>
        </w:rPr>
      </w:pPr>
    </w:p>
    <w:p>
      <w:pPr>
        <w:ind w:left="860" w:right="680" w:hanging="224"/>
        <w:spacing w:after="0" w:line="258"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 the board of directors to issue up to 5,000,000 shares of preferred stock, with any rights, preferences and privileges as they may designate;</w:t>
      </w:r>
    </w:p>
    <w:p>
      <w:pPr>
        <w:spacing w:after="0" w:line="1"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30" w:lineRule="exact"/>
        <w:rPr>
          <w:rFonts w:ascii="Arial" w:cs="Arial" w:eastAsia="Arial" w:hAnsi="Arial"/>
          <w:sz w:val="18"/>
          <w:szCs w:val="18"/>
          <w:color w:val="auto"/>
        </w:rPr>
      </w:pPr>
    </w:p>
    <w:p>
      <w:pPr>
        <w:ind w:left="860" w:right="40" w:hanging="224"/>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75" w:lineRule="exact"/>
        <w:rPr>
          <w:rFonts w:ascii="Arial" w:cs="Arial" w:eastAsia="Arial" w:hAnsi="Arial"/>
          <w:sz w:val="18"/>
          <w:szCs w:val="18"/>
          <w:color w:val="auto"/>
        </w:rPr>
      </w:pPr>
    </w:p>
    <w:p>
      <w:pPr>
        <w:ind w:left="860" w:right="100" w:hanging="224"/>
        <w:spacing w:after="0" w:line="264"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86"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75" w:lineRule="exact"/>
        <w:rPr>
          <w:rFonts w:ascii="Arial" w:cs="Arial" w:eastAsia="Arial" w:hAnsi="Arial"/>
          <w:sz w:val="18"/>
          <w:szCs w:val="18"/>
          <w:color w:val="auto"/>
        </w:rPr>
      </w:pPr>
    </w:p>
    <w:p>
      <w:pPr>
        <w:ind w:left="860" w:right="40" w:hanging="224"/>
        <w:spacing w:after="0" w:line="264"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to the fullest extent permitted by law, a stockholder reimburse us for all fees, costs and expenses incurred by us in connection with a proceeding initiated by such stockholder in which such stockholder does not obtain a judgment on the merits that substantially achieves the full remedy sought;</w:t>
      </w:r>
    </w:p>
    <w:p>
      <w:pPr>
        <w:spacing w:after="0" w:line="86"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president, in the absence of a chief executive officer) or by the board of directors; and</w:t>
      </w:r>
    </w:p>
    <w:p>
      <w:pPr>
        <w:spacing w:after="0" w:line="75" w:lineRule="exact"/>
        <w:rPr>
          <w:rFonts w:ascii="Arial" w:cs="Arial" w:eastAsia="Arial" w:hAnsi="Arial"/>
          <w:sz w:val="18"/>
          <w:szCs w:val="18"/>
          <w:color w:val="auto"/>
        </w:rPr>
      </w:pPr>
    </w:p>
    <w:p>
      <w:pPr>
        <w:ind w:left="860" w:right="120" w:hanging="224"/>
        <w:spacing w:after="0" w:line="308" w:lineRule="auto"/>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that stockholders will be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4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270" w:lineRule="exact"/>
        <w:rPr>
          <w:sz w:val="20"/>
          <w:szCs w:val="20"/>
          <w:color w:val="auto"/>
        </w:rPr>
      </w:pPr>
    </w:p>
    <w:p>
      <w:pPr>
        <w:jc w:val="both"/>
        <w:ind w:left="200" w:right="120"/>
        <w:spacing w:after="0" w:line="266" w:lineRule="auto"/>
        <w:rPr>
          <w:sz w:val="20"/>
          <w:szCs w:val="20"/>
          <w:color w:val="auto"/>
        </w:rPr>
      </w:pPr>
      <w:r>
        <w:rPr>
          <w:rFonts w:ascii="Arial" w:cs="Arial" w:eastAsia="Arial" w:hAnsi="Arial"/>
          <w:sz w:val="18"/>
          <w:szCs w:val="18"/>
          <w:b w:val="1"/>
          <w:b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70" w:lineRule="exact"/>
        <w:rPr>
          <w:sz w:val="20"/>
          <w:szCs w:val="20"/>
          <w:color w:val="auto"/>
        </w:rPr>
      </w:pPr>
    </w:p>
    <w:p>
      <w:pPr>
        <w:ind w:left="200" w:right="460"/>
        <w:spacing w:after="0" w:line="282" w:lineRule="auto"/>
        <w:rPr>
          <w:sz w:val="20"/>
          <w:szCs w:val="20"/>
          <w:color w:val="auto"/>
        </w:rPr>
      </w:pPr>
      <w:r>
        <w:rPr>
          <w:rFonts w:ascii="Arial" w:cs="Arial" w:eastAsia="Arial" w:hAnsi="Arial"/>
          <w:sz w:val="18"/>
          <w:szCs w:val="18"/>
          <w:b w:val="1"/>
          <w:bCs w:val="1"/>
          <w:color w:val="auto"/>
        </w:rPr>
        <w:t>We incur significant costs as a result of operating as a public company, and our management is required to devote substantial time to new compliance initiatives and corporate governance practices.</w:t>
      </w:r>
    </w:p>
    <w:p>
      <w:pPr>
        <w:spacing w:after="0" w:line="166"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As a public company, and particularly after we are no longer an “emerging growth company” under applicable SEC regulations, we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public companies, including establishment and maintenance of effective disclosure and financial controls and corporate governance practices. Our management and other personnel devote a substantial amount of time to these compliance initiatives.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Pursuant to Section 404 of the Sarbanes-Oxley Act of 2002 (Section 404), we are required to furnish a report by our management on our internal control over financial reporting. However, while we remain an emerging growth company, we are not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and any free writing prospectus that we have authorized for use in connection with this offering, contain forward-looking statements. All statements other than statements of historical facts contained in this prospectus supplement, the accompanying prospectus and the documents incorporated by reference herein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77" w:lineRule="exact"/>
        <w:rPr>
          <w:sz w:val="20"/>
          <w:szCs w:val="20"/>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30"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apply a risk-mitigated strategy to efficiently discover and develop product candidates, including by applying learnings from one program to other programs;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create a pipeline of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optimize our delivery system or designate a development human therapeutic as soon as the first quarter of 2018;</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advance any product candidates into, and successfully complete, clinical studies;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advance our therapeutic delivery capabilities;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ability to research and develop a therapeutic that can be delivered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the liver, the brain or any other human organ;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issuance of regulatory guidance regarding preclinical and clinical studies for gene editing products;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and our ability to enter into strategic arrangements;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grant funding;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680" w:hanging="224"/>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in this prospectus supplement, the accompanying prospectus and the documents incorporated by reference herein and therein.</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supplement, the accompanying prospectus and the documents incorporated by reference herein and therein.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supplement, the accompanying prospectus, the documents incorporated by reference herein and therein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80"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7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these industry publications and third-party research, surveys and studies are reliable.</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We estimate that we will receive net proceeds of approximately $140.5 million from the sale of $150,000,000 of shares of our common stock offered in this offering, based on an assumed public offering price of $31.12 per share (the last reported sale price on The Nasdaq Global Market on October 31, 2017), and after deducting the estimated underwriting discounts and commissions and estimated offering expenses payable by us. If the underwriters exercise their option to purchase up to an additional $22,500,000 of shares in full at an assumed public offering price of $31.12 per share, we estimate that the net proceeds of the shares we sell in this offering will be approximately $161.7 million.</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intend to use the net proceeds from this offering, together with our existing cash and cash equivalents for research and development and clinical development costs to support the advancement of our potential product candidates and the expansion of our research and development programs; working capital; capital expenditures; and other general corporate purposes.</w:t>
      </w:r>
    </w:p>
    <w:p>
      <w:pPr>
        <w:spacing w:after="0" w:line="18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amounts and timing of our actual expenditures will depend on numerous factors, including the factors described under “Risk Factors” in this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PRICE FOR OUR COMMON STOCK</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common stock is traded on The Nasdaq Global Market under the symbol “NTLA”. Trading of our common stock commenced on May 6, 2016, following the completion of our initial public offering. The following table sets forth the high and low sale prices per share of our common stock, as reported on The Nasdaq Global Market, for the periods indicated:</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Market Price</w:t>
            </w:r>
          </w:p>
        </w:tc>
        <w:tc>
          <w:tcPr>
            <w:tcW w:w="0" w:type="dxa"/>
            <w:vAlign w:val="bottom"/>
          </w:tcPr>
          <w:p>
            <w:pPr>
              <w:spacing w:after="0"/>
              <w:rPr>
                <w:sz w:val="1"/>
                <w:szCs w:val="1"/>
                <w:color w:val="auto"/>
              </w:rPr>
            </w:pPr>
          </w:p>
        </w:tc>
      </w:tr>
      <w:tr>
        <w:trPr>
          <w:trHeight w:val="142"/>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Year ending December 31, 2017:</w:t>
            </w:r>
          </w:p>
        </w:tc>
        <w:tc>
          <w:tcPr>
            <w:tcW w:w="32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3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3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Fourth quarter (through October 31, 2017)</w:t>
            </w:r>
          </w:p>
        </w:tc>
        <w:tc>
          <w:tcPr>
            <w:tcW w:w="3780" w:type="dxa"/>
            <w:vAlign w:val="bottom"/>
            <w:gridSpan w:val="2"/>
          </w:tcPr>
          <w:p>
            <w:pPr>
              <w:jc w:val="center"/>
              <w:ind w:left="3190"/>
              <w:spacing w:after="0"/>
              <w:rPr>
                <w:sz w:val="20"/>
                <w:szCs w:val="20"/>
                <w:color w:val="auto"/>
              </w:rPr>
            </w:pPr>
            <w:r>
              <w:rPr>
                <w:rFonts w:ascii="Arial" w:cs="Arial" w:eastAsia="Arial" w:hAnsi="Arial"/>
                <w:sz w:val="18"/>
                <w:szCs w:val="18"/>
                <w:color w:val="auto"/>
                <w:w w:val="90"/>
              </w:rPr>
              <w:t>$33.34</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$24.63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Third quarter</w:t>
            </w:r>
          </w:p>
        </w:tc>
        <w:tc>
          <w:tcPr>
            <w:tcW w:w="3780" w:type="dxa"/>
            <w:vAlign w:val="bottom"/>
            <w:gridSpan w:val="2"/>
          </w:tcPr>
          <w:p>
            <w:pPr>
              <w:jc w:val="center"/>
              <w:ind w:left="3190"/>
              <w:spacing w:after="0"/>
              <w:rPr>
                <w:sz w:val="20"/>
                <w:szCs w:val="20"/>
                <w:color w:val="auto"/>
              </w:rPr>
            </w:pPr>
            <w:r>
              <w:rPr>
                <w:rFonts w:ascii="Arial" w:cs="Arial" w:eastAsia="Arial" w:hAnsi="Arial"/>
                <w:sz w:val="18"/>
                <w:szCs w:val="18"/>
                <w:color w:val="auto"/>
                <w:w w:val="90"/>
              </w:rPr>
              <w:t>$26.70</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$14.45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Second quarter</w:t>
            </w:r>
          </w:p>
        </w:tc>
        <w:tc>
          <w:tcPr>
            <w:tcW w:w="3780" w:type="dxa"/>
            <w:vAlign w:val="bottom"/>
            <w:gridSpan w:val="2"/>
          </w:tcPr>
          <w:p>
            <w:pPr>
              <w:jc w:val="center"/>
              <w:ind w:left="3190"/>
              <w:spacing w:after="0"/>
              <w:rPr>
                <w:sz w:val="20"/>
                <w:szCs w:val="20"/>
                <w:color w:val="auto"/>
              </w:rPr>
            </w:pPr>
            <w:r>
              <w:rPr>
                <w:rFonts w:ascii="Arial" w:cs="Arial" w:eastAsia="Arial" w:hAnsi="Arial"/>
                <w:sz w:val="18"/>
                <w:szCs w:val="18"/>
                <w:color w:val="auto"/>
                <w:w w:val="90"/>
              </w:rPr>
              <w:t>$17.61</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$11.15</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Arial" w:cs="Arial" w:eastAsia="Arial" w:hAnsi="Arial"/>
                <w:sz w:val="18"/>
                <w:szCs w:val="18"/>
                <w:color w:val="auto"/>
              </w:rPr>
              <w:t>First quarter</w:t>
            </w:r>
          </w:p>
        </w:tc>
        <w:tc>
          <w:tcPr>
            <w:tcW w:w="3780" w:type="dxa"/>
            <w:vAlign w:val="bottom"/>
            <w:gridSpan w:val="2"/>
          </w:tcPr>
          <w:p>
            <w:pPr>
              <w:jc w:val="center"/>
              <w:ind w:left="3190"/>
              <w:spacing w:after="0"/>
              <w:rPr>
                <w:sz w:val="20"/>
                <w:szCs w:val="20"/>
                <w:color w:val="auto"/>
              </w:rPr>
            </w:pPr>
            <w:r>
              <w:rPr>
                <w:rFonts w:ascii="Arial" w:cs="Arial" w:eastAsia="Arial" w:hAnsi="Arial"/>
                <w:sz w:val="18"/>
                <w:szCs w:val="18"/>
                <w:color w:val="auto"/>
                <w:w w:val="90"/>
              </w:rPr>
              <w:t>$15.78</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$10.83</w:t>
            </w:r>
          </w:p>
        </w:tc>
        <w:tc>
          <w:tcPr>
            <w:tcW w:w="0" w:type="dxa"/>
            <w:vAlign w:val="bottom"/>
          </w:tcPr>
          <w:p>
            <w:pPr>
              <w:spacing w:after="0"/>
              <w:rPr>
                <w:sz w:val="1"/>
                <w:szCs w:val="1"/>
                <w:color w:val="auto"/>
              </w:rPr>
            </w:pPr>
          </w:p>
        </w:tc>
      </w:tr>
      <w:tr>
        <w:trPr>
          <w:trHeight w:val="220"/>
        </w:trPr>
        <w:tc>
          <w:tcPr>
            <w:tcW w:w="632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3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Fourth quarter</w:t>
            </w:r>
          </w:p>
        </w:tc>
        <w:tc>
          <w:tcPr>
            <w:tcW w:w="3780" w:type="dxa"/>
            <w:vAlign w:val="bottom"/>
            <w:gridSpan w:val="2"/>
          </w:tcPr>
          <w:p>
            <w:pPr>
              <w:jc w:val="center"/>
              <w:ind w:left="3190"/>
              <w:spacing w:after="0"/>
              <w:rPr>
                <w:sz w:val="20"/>
                <w:szCs w:val="20"/>
                <w:color w:val="auto"/>
              </w:rPr>
            </w:pPr>
            <w:r>
              <w:rPr>
                <w:rFonts w:ascii="Arial" w:cs="Arial" w:eastAsia="Arial" w:hAnsi="Arial"/>
                <w:sz w:val="18"/>
                <w:szCs w:val="18"/>
                <w:color w:val="auto"/>
                <w:w w:val="90"/>
              </w:rPr>
              <w:t>$19.66</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$11.86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Third quarter</w:t>
            </w:r>
          </w:p>
        </w:tc>
        <w:tc>
          <w:tcPr>
            <w:tcW w:w="3780" w:type="dxa"/>
            <w:vAlign w:val="bottom"/>
            <w:gridSpan w:val="2"/>
          </w:tcPr>
          <w:p>
            <w:pPr>
              <w:jc w:val="center"/>
              <w:ind w:left="3190"/>
              <w:spacing w:after="0"/>
              <w:rPr>
                <w:sz w:val="20"/>
                <w:szCs w:val="20"/>
                <w:color w:val="auto"/>
              </w:rPr>
            </w:pPr>
            <w:r>
              <w:rPr>
                <w:rFonts w:ascii="Arial" w:cs="Arial" w:eastAsia="Arial" w:hAnsi="Arial"/>
                <w:sz w:val="18"/>
                <w:szCs w:val="18"/>
                <w:color w:val="auto"/>
                <w:w w:val="90"/>
              </w:rPr>
              <w:t>$24.90</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$16.60</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Second quarter (from May 6, 2016)</w:t>
            </w:r>
          </w:p>
        </w:tc>
        <w:tc>
          <w:tcPr>
            <w:tcW w:w="3780" w:type="dxa"/>
            <w:vAlign w:val="bottom"/>
            <w:gridSpan w:val="2"/>
          </w:tcPr>
          <w:p>
            <w:pPr>
              <w:jc w:val="center"/>
              <w:ind w:left="3190"/>
              <w:spacing w:after="0"/>
              <w:rPr>
                <w:sz w:val="20"/>
                <w:szCs w:val="20"/>
                <w:color w:val="auto"/>
              </w:rPr>
            </w:pPr>
            <w:r>
              <w:rPr>
                <w:rFonts w:ascii="Arial" w:cs="Arial" w:eastAsia="Arial" w:hAnsi="Arial"/>
                <w:sz w:val="18"/>
                <w:szCs w:val="18"/>
                <w:color w:val="auto"/>
                <w:w w:val="90"/>
              </w:rPr>
              <w:t>$30.40</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$20.70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On October 31, 2017, the last reported sale price of our common stock on The Nasdaq Global Market was $31.12 per share. As of October 30, 2017, the number of holders of record of our common stock was 46. This number does not include beneficial owners whose shares are held in street name.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never declared or paid cash dividends on our capital stock. We intend to retain all of our future earnings, if any, to finance the growth and development of our business. We do not intend to pay cash dividends to our stockholders in the foreseeable future.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public offering price per share of our common stock and the net tangible book value per share of our common stock immediately after this offering. The net tangible book value of our common stock as of September 30, 2017 was approximately $175.9 million, or approximately $4.87 per share of common stock based upon 36,085,266 shares outstanding. Net tangible book value per share is equal to our total tangible assets, less our total liabilities, divided by the total number of shares of common stock outstanding as of September 30, 2017.</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Net tangible book value dilution per share to investors participating in this offering represents the difference between the amount per share paid by purchasers of shares of common stock in this offering and the as adjusted net tangible book value per share of common stock immediately after completion of this offering. After giving effect to the issuance and sale by us of $150,000,000 of shares of our common stock at an assumed public offering price of $31.12 per share, which was the last reported sale price of our common stock on The Nasdaq Global Market on October 31, 2017, and after deducting estimated underwriting discounts and commissions and estimated offering expenses payable by us, our as adjusted net tangible book value as of September 30, 2017 would have been $316.4 million, or $7.73 per share of our common stock. This represents an immediate increase in net tangible book value of $2.86 per share to our existing stockholders and an immediate dilution in as adjusted net tangible book value of $23.39 per share to new investors in this offering.</w:t>
      </w:r>
    </w:p>
    <w:p>
      <w:pPr>
        <w:spacing w:after="0" w:line="19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illustrates this calculation on a per share basis without giving effect to the option to purchase additional shares granted to the underwriters: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Assumed public offering price per share</w:t>
            </w:r>
          </w:p>
        </w:tc>
        <w:tc>
          <w:tcPr>
            <w:tcW w:w="28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31.12</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September 30, 2017</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2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20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280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23.39</w:t>
            </w:r>
          </w:p>
        </w:tc>
      </w:tr>
    </w:tbl>
    <w:p>
      <w:pPr>
        <w:spacing w:after="0" w:line="21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Each $1.00 increase (decrease) in an assumed public offering price of $31.12 per share, the last reported sale price of our common stock on The Nasdaq Global Market on October 31, 2017, would increase (decrease) dilution per share to new investors by approximately $2.86 after deducting estimated underwriting discounts and commissions and estimated offering expenses payable by us.</w:t>
      </w:r>
    </w:p>
    <w:p>
      <w:pPr>
        <w:spacing w:after="0" w:line="166"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If the underwriters exercise in full their option to purchase up to $22,500,000 of additional shares of common stock at an assumed public offering price of $31.12 per share, the last reported sale price of our common stock on The Nasdaq Global Market on October 31, 2017, the as adjusted net tangible book value after this offering would be $8.11 per share of our common stock, representing an increase of as adjusted net tangible book value of $3.24 per share to our existing stockholders and an immediate dilution of $23.01 per share to new investors purchasing shares in this offering.</w:t>
      </w:r>
    </w:p>
    <w:p>
      <w:pPr>
        <w:spacing w:after="0" w:line="15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36,085,266 shares of our common stock outstanding as of September 30, 2017. The number of shares outstanding as of September 30, 2017 excludes:</w:t>
      </w:r>
    </w:p>
    <w:p>
      <w:pPr>
        <w:spacing w:after="0" w:line="76" w:lineRule="exact"/>
        <w:rPr>
          <w:sz w:val="20"/>
          <w:szCs w:val="20"/>
          <w:color w:val="auto"/>
        </w:rPr>
      </w:pPr>
    </w:p>
    <w:p>
      <w:pPr>
        <w:ind w:left="860" w:right="300" w:hanging="224"/>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4,421,224 shares of common stock issuable upon the exercise of stock options outstanding as of September 30, 2017, at a weighted average exercise price of $10.34 per share;</w:t>
      </w:r>
    </w:p>
    <w:p>
      <w:pPr>
        <w:spacing w:after="0" w:line="75" w:lineRule="exact"/>
        <w:rPr>
          <w:rFonts w:ascii="Arial" w:cs="Arial" w:eastAsia="Arial" w:hAnsi="Arial"/>
          <w:sz w:val="18"/>
          <w:szCs w:val="18"/>
          <w:color w:val="auto"/>
        </w:rPr>
      </w:pPr>
    </w:p>
    <w:p>
      <w:pPr>
        <w:ind w:left="860" w:right="520" w:hanging="224"/>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159,050 shares of common stock issuable upon the exercise of outstanding stock options granted subsequent to September 30, 2017, at a weighted average exercise price of $27.28 per share;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240" w:hanging="2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2,255,544 shares of common stock reserved for future issuance under our 2015 Amended and Restated Stock Option and Incentive Plan and our 2016 Employee Stock Purchase Plan as of September 30, 2017.</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the extent that any options are exercised, new options are issued under our 2015 Amended and Restated Stock Option and Incentive Plan or we otherwise issue additional shares of common stock in the future at a price less than the public offering price, there may be further dilution to new investors purchasing common stock in this offering.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87" w:lineRule="exact"/>
        <w:rPr>
          <w:sz w:val="20"/>
          <w:szCs w:val="20"/>
          <w:color w:val="auto"/>
        </w:rPr>
      </w:pPr>
    </w:p>
    <w:p>
      <w:pPr>
        <w:ind w:left="860" w:hanging="22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This discussion does not address all aspects of U.S. federal income taxation that may be relevant to a particular non-U.S. holder in light of that non-U.S. holder’s individual circumstances nor does it address any aspects of any U.S. federal tax other than the income tax,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60" w:lineRule="exact"/>
        <w:rPr>
          <w:sz w:val="20"/>
          <w:szCs w:val="20"/>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860" w:right="300" w:hanging="224"/>
        <w:spacing w:after="0" w:line="27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860" w:right="400" w:hanging="224"/>
        <w:spacing w:after="0" w:line="27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897(I)(2)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partners and investors therein);</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persons for whom our stock constitutes “qualified small business stock” within the meaning of Section 1202 of the Code;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own tax advisors with respect to the U.S. federal, state, local and non-U.S. tax consequences of the ownership and disposition of our common stock.</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Distributions on Our Common Stock</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in the “Risk Factors”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Exchange or Other Disposition of Our Common Stock.” Any such distributions will also be subject to the discussions below under the sections titled “—Backup Withholding and Information Reporting” and “—FATCA.”</w:t>
      </w:r>
    </w:p>
    <w:p>
      <w:pPr>
        <w:spacing w:after="0" w:line="18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6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own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“FATCA,” a non-U.S. holder will not be subject to any U.S. federal income or withholding tax on any gain realized upon such holder’s sale or other taxable disposition of shares of our common stock unless:</w:t>
      </w:r>
    </w:p>
    <w:p>
      <w:pPr>
        <w:spacing w:after="0" w:line="87" w:lineRule="exact"/>
        <w:rPr>
          <w:sz w:val="20"/>
          <w:szCs w:val="20"/>
          <w:color w:val="auto"/>
        </w:rPr>
      </w:pPr>
    </w:p>
    <w:p>
      <w:pPr>
        <w:ind w:left="860" w:right="60" w:hanging="224"/>
        <w:spacing w:after="0" w:line="25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93" w:lineRule="exact"/>
        <w:rPr>
          <w:rFonts w:ascii="Arial" w:cs="Arial" w:eastAsia="Arial" w:hAnsi="Arial"/>
          <w:sz w:val="18"/>
          <w:szCs w:val="18"/>
          <w:color w:val="auto"/>
        </w:rPr>
      </w:pPr>
    </w:p>
    <w:p>
      <w:pPr>
        <w:ind w:left="860" w:right="20" w:hanging="224"/>
        <w:spacing w:after="0" w:line="255"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860" w:hanging="224"/>
        <w:spacing w:after="0" w:line="287" w:lineRule="auto"/>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If we are or were a U.S. real property holding corporation during the relevant period and the foregoing 5% exception does not apply, the non-U.S. holder generally will be taxed on its net gain derived from the disposition at the graduated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but will only apply to payments of gross proceeds from a sale or other disposition of our common stock made after December 31, 2018. Under certain circumstances, a non-U.S. holder may be eligible for refunds or credits of the tax. An intergovernmental agreement between the United States and an applicable foreign country may modify the requirements described in this paragraph. Non-U.S. holders should consult their own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60"/>
          </w:cols>
          <w:pgMar w:left="240" w:top="459" w:right="4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9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28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2980" w:type="dxa"/>
            <w:vAlign w:val="bottom"/>
          </w:tcPr>
          <w:p>
            <w:pPr>
              <w:spacing w:after="0"/>
              <w:rPr>
                <w:sz w:val="24"/>
                <w:szCs w:val="24"/>
                <w:color w:val="auto"/>
              </w:rPr>
            </w:pPr>
          </w:p>
        </w:tc>
      </w:tr>
      <w:tr>
        <w:trPr>
          <w:trHeight w:val="432"/>
        </w:trPr>
        <w:tc>
          <w:tcPr>
            <w:tcW w:w="7640" w:type="dxa"/>
            <w:vAlign w:val="bottom"/>
            <w:gridSpan w:val="2"/>
          </w:tcPr>
          <w:p>
            <w:pPr>
              <w:ind w:left="640"/>
              <w:spacing w:after="0"/>
              <w:rPr>
                <w:sz w:val="20"/>
                <w:szCs w:val="20"/>
                <w:color w:val="auto"/>
              </w:rPr>
            </w:pPr>
            <w:r>
              <w:rPr>
                <w:rFonts w:ascii="Arial" w:cs="Arial" w:eastAsia="Arial" w:hAnsi="Arial"/>
                <w:sz w:val="18"/>
                <w:szCs w:val="18"/>
                <w:color w:val="auto"/>
                <w:w w:val="95"/>
              </w:rPr>
              <w:t>Under the terms and subject to the conditions contained in an underwriting agreement dated</w:t>
            </w:r>
          </w:p>
        </w:tc>
        <w:tc>
          <w:tcPr>
            <w:tcW w:w="2980" w:type="dxa"/>
            <w:vAlign w:val="bottom"/>
          </w:tcPr>
          <w:p>
            <w:pPr>
              <w:ind w:left="380"/>
              <w:spacing w:after="0"/>
              <w:rPr>
                <w:sz w:val="20"/>
                <w:szCs w:val="20"/>
                <w:color w:val="auto"/>
              </w:rPr>
            </w:pPr>
            <w:r>
              <w:rPr>
                <w:rFonts w:ascii="Arial" w:cs="Arial" w:eastAsia="Arial" w:hAnsi="Arial"/>
                <w:sz w:val="18"/>
                <w:szCs w:val="18"/>
                <w:color w:val="auto"/>
                <w:w w:val="88"/>
              </w:rPr>
              <w:t>, 2017, we have agreed to sell to the</w:t>
            </w:r>
          </w:p>
        </w:tc>
      </w:tr>
    </w:tbl>
    <w:p>
      <w:pPr>
        <w:ind w:left="200" w:right="2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named below, for whom Credit Suisse Securities (USA) LLC, Jefferies LLC and Leerink Partners LLC are acting as representatives, the following respective numbers of shares of common stock:</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360" w:type="dxa"/>
            <w:vAlign w:val="bottom"/>
            <w:vMerge w:val="restart"/>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936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5"/>
        </w:trPr>
        <w:tc>
          <w:tcPr>
            <w:tcW w:w="10140" w:type="dxa"/>
            <w:vAlign w:val="bottom"/>
            <w:gridSpan w:val="2"/>
          </w:tcPr>
          <w:p>
            <w:pPr>
              <w:spacing w:after="0" w:line="176" w:lineRule="exact"/>
              <w:rPr>
                <w:sz w:val="20"/>
                <w:szCs w:val="20"/>
                <w:color w:val="auto"/>
              </w:rPr>
            </w:pPr>
            <w:r>
              <w:rPr>
                <w:rFonts w:ascii="Arial" w:cs="Arial" w:eastAsia="Arial" w:hAnsi="Arial"/>
                <w:sz w:val="18"/>
                <w:szCs w:val="18"/>
                <w:color w:val="auto"/>
              </w:rPr>
              <w:t>Credit Suisse Securities (USA) LLC</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1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4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1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underwriting agreement provides that the underwriters are obligated to purchase all the shares of common stock in the offering if any are purchased, other than those shares covered by the underwriters’ option described below. The underwriting agreement also provides that if an underwriter defaults the purchase commitments of non-defaulting underwriters may be increased or the offering may be terminated.</w:t>
      </w:r>
    </w:p>
    <w:p>
      <w:pPr>
        <w:spacing w:after="0" w:line="166"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$22,500,000 of additional shares at the public offering price less the underwriting discounts and commissions.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supplement</w:t>
      </w:r>
    </w:p>
    <w:p>
      <w:pPr>
        <w:spacing w:after="0" w:line="4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Arial" w:cs="Arial" w:eastAsia="Arial" w:hAnsi="Arial"/>
                <w:sz w:val="18"/>
                <w:szCs w:val="18"/>
                <w:color w:val="auto"/>
                <w:w w:val="96"/>
              </w:rPr>
              <w:t>and to selling group members at that price less a selling concession of $</w:t>
            </w:r>
          </w:p>
        </w:tc>
        <w:tc>
          <w:tcPr>
            <w:tcW w:w="5480" w:type="dxa"/>
            <w:vAlign w:val="bottom"/>
            <w:gridSpan w:val="9"/>
          </w:tcPr>
          <w:p>
            <w:pPr>
              <w:jc w:val="right"/>
              <w:ind w:right="126"/>
              <w:spacing w:after="0"/>
              <w:rPr>
                <w:sz w:val="20"/>
                <w:szCs w:val="20"/>
                <w:color w:val="auto"/>
              </w:rPr>
            </w:pPr>
            <w:r>
              <w:rPr>
                <w:rFonts w:ascii="Arial" w:cs="Arial" w:eastAsia="Arial" w:hAnsi="Arial"/>
                <w:sz w:val="18"/>
                <w:szCs w:val="18"/>
                <w:color w:val="auto"/>
                <w:w w:val="96"/>
              </w:rPr>
              <w:t>per share. The underwriters and selling group members may allow a</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discount of $</w:t>
            </w:r>
          </w:p>
        </w:tc>
        <w:tc>
          <w:tcPr>
            <w:tcW w:w="9720" w:type="dxa"/>
            <w:vAlign w:val="bottom"/>
            <w:gridSpan w:val="10"/>
          </w:tcPr>
          <w:p>
            <w:pPr>
              <w:jc w:val="right"/>
              <w:ind w:right="306"/>
              <w:spacing w:after="0"/>
              <w:rPr>
                <w:sz w:val="20"/>
                <w:szCs w:val="20"/>
                <w:color w:val="auto"/>
              </w:rPr>
            </w:pPr>
            <w:r>
              <w:rPr>
                <w:rFonts w:ascii="Arial" w:cs="Arial" w:eastAsia="Arial" w:hAnsi="Arial"/>
                <w:sz w:val="18"/>
                <w:szCs w:val="18"/>
                <w:color w:val="auto"/>
                <w:w w:val="94"/>
              </w:rPr>
              <w:t>per share on sales to other broker/dealers. After the initial public offering the representatives may change the public offering</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price and concession and discount to broker/dealers.</w:t>
            </w:r>
          </w:p>
        </w:tc>
        <w:tc>
          <w:tcPr>
            <w:tcW w:w="1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60" w:type="dxa"/>
            <w:vAlign w:val="bottom"/>
            <w:gridSpan w:val="2"/>
          </w:tcPr>
          <w:p>
            <w:pPr>
              <w:ind w:left="440"/>
              <w:spacing w:after="0"/>
              <w:rPr>
                <w:sz w:val="20"/>
                <w:szCs w:val="20"/>
                <w:color w:val="auto"/>
              </w:rPr>
            </w:pPr>
            <w:r>
              <w:rPr>
                <w:rFonts w:ascii="Arial" w:cs="Arial" w:eastAsia="Arial" w:hAnsi="Arial"/>
                <w:sz w:val="18"/>
                <w:szCs w:val="18"/>
                <w:color w:val="auto"/>
              </w:rPr>
              <w:t>The following table summarizes the compensation we will pay:</w:t>
            </w: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3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3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480" w:type="dxa"/>
            <w:vAlign w:val="bottom"/>
            <w:gridSpan w:val="2"/>
          </w:tcPr>
          <w:p>
            <w:pPr>
              <w:jc w:val="center"/>
              <w:ind w:left="1699"/>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000" w:type="dxa"/>
            <w:vAlign w:val="bottom"/>
            <w:gridSpan w:val="2"/>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Exercise of</w:t>
            </w:r>
          </w:p>
        </w:tc>
        <w:tc>
          <w:tcPr>
            <w:tcW w:w="98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0" w:type="dxa"/>
            <w:vAlign w:val="bottom"/>
          </w:tcPr>
          <w:p>
            <w:pPr>
              <w:spacing w:after="0"/>
              <w:rPr>
                <w:sz w:val="12"/>
                <w:szCs w:val="12"/>
                <w:color w:val="auto"/>
              </w:rPr>
            </w:pPr>
          </w:p>
        </w:tc>
        <w:tc>
          <w:tcPr>
            <w:tcW w:w="1000" w:type="dxa"/>
            <w:vAlign w:val="bottom"/>
            <w:gridSpan w:val="2"/>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Exercise of</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3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w:t>
            </w:r>
          </w:p>
        </w:tc>
        <w:tc>
          <w:tcPr>
            <w:tcW w:w="3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3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Underwriting discounts and commissions paid by us</w:t>
            </w:r>
          </w:p>
        </w:tc>
        <w:tc>
          <w:tcPr>
            <w:tcW w:w="18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24"/>
        </w:trPr>
        <w:tc>
          <w:tcPr>
            <w:tcW w:w="5560" w:type="dxa"/>
            <w:vAlign w:val="bottom"/>
            <w:gridSpan w:val="2"/>
            <w:vMerge w:val="continue"/>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jc w:val="right"/>
              <w:ind w:right="506"/>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680" w:type="dxa"/>
            <w:vAlign w:val="bottom"/>
          </w:tcPr>
          <w:p>
            <w:pPr>
              <w:jc w:val="right"/>
              <w:ind w:right="506"/>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660" w:type="dxa"/>
            <w:vAlign w:val="bottom"/>
          </w:tcPr>
          <w:p>
            <w:pPr>
              <w:jc w:val="right"/>
              <w:ind w:right="486"/>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506"/>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We estimate that our out of pocket expenses for this offering will be approximately $500,000. The underwriters have agreed to reimburse us for certain expenses in connection with this offering. We have also agreed to reimburse the underwriters for up to $35,000 for their FINRA counsel fee. In accordance with FINRA Rule 5110, this reimbursed fee is deemed underwriting compensation for this offering.</w:t>
      </w:r>
    </w:p>
    <w:p>
      <w:pPr>
        <w:spacing w:after="0" w:line="166"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Jefferies LLC and Leerink</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240"/>
          </w:cols>
          <w:pgMar w:left="240" w:top="446"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6"/>
          <w:szCs w:val="16"/>
          <w:color w:val="auto"/>
        </w:rPr>
        <w:t>Partners LLC for a period of 60 days after the date of this prospectus supplement</w:t>
      </w:r>
      <w:r>
        <w:rPr>
          <w:rFonts w:ascii="Arial" w:cs="Arial" w:eastAsia="Arial" w:hAnsi="Arial"/>
          <w:sz w:val="16"/>
          <w:szCs w:val="16"/>
          <w:i w:val="1"/>
          <w:iCs w:val="1"/>
          <w:color w:val="auto"/>
        </w:rPr>
        <w:t>,</w:t>
      </w:r>
      <w:r>
        <w:rPr>
          <w:rFonts w:ascii="Arial" w:cs="Arial" w:eastAsia="Arial" w:hAnsi="Arial"/>
          <w:sz w:val="16"/>
          <w:szCs w:val="16"/>
          <w:color w:val="auto"/>
        </w:rPr>
        <w:t xml:space="preserve"> except (i) grants of employee stock options, restricted shares of common stock or other equity grants pursuant to the terms of a plan in effect on the date of this prospectus supplement, (ii) issuances pursuant to the exercise of such options or equity grants, (iii) sales pursuant to underwriting agreement related to this offering, (iv) the filing a registration statement on Form S-8 relating to equity securities granted pursuant to our equity incentive plans existing as of the anticipated closing of this offering, and</w:t>
      </w:r>
    </w:p>
    <w:p>
      <w:pPr>
        <w:spacing w:after="0" w:line="2" w:lineRule="exact"/>
        <w:rPr>
          <w:sz w:val="20"/>
          <w:szCs w:val="20"/>
          <w:color w:val="auto"/>
        </w:rPr>
      </w:pPr>
    </w:p>
    <w:p>
      <w:pPr>
        <w:ind w:left="200" w:right="240" w:firstLine="4"/>
        <w:spacing w:after="0" w:line="255"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issuances of equity securities up to 5% of our outstanding shares of common stock immediately following the completion of this offering in connection with acquisitions or strategic investments, provided, that the recipient of such shares agrees to be bound by the restrictions set forth in this paragraph.</w:t>
      </w:r>
    </w:p>
    <w:p>
      <w:pPr>
        <w:spacing w:after="0" w:line="19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officers and directors and a certain affiliated stockholder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Jefferies LLC and Leerink Partners LLC for a period of 60 days after the date of this prospectus.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Market under the symbol “NTLA”.</w:t>
      </w:r>
    </w:p>
    <w:p>
      <w:pPr>
        <w:spacing w:after="0" w:line="225"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860" w:hanging="224"/>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860" w:hanging="224"/>
        <w:spacing w:after="0" w:line="255"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option to purchase additional shares and/or purchasing shares in the open market.</w:t>
      </w:r>
    </w:p>
    <w:p>
      <w:pPr>
        <w:spacing w:after="0" w:line="98" w:lineRule="exact"/>
        <w:rPr>
          <w:rFonts w:ascii="Arial" w:cs="Arial" w:eastAsia="Arial" w:hAnsi="Arial"/>
          <w:sz w:val="18"/>
          <w:szCs w:val="18"/>
          <w:color w:val="auto"/>
        </w:rPr>
      </w:pPr>
    </w:p>
    <w:p>
      <w:pPr>
        <w:ind w:left="860" w:right="20" w:hanging="224"/>
        <w:spacing w:after="0" w:line="272"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option to purchase additional shares. If the underwriters sell more shares than could be covered by the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3" w:lineRule="exact"/>
        <w:rPr>
          <w:rFonts w:ascii="Arial" w:cs="Arial" w:eastAsia="Arial" w:hAnsi="Arial"/>
          <w:sz w:val="17"/>
          <w:szCs w:val="17"/>
          <w:color w:val="auto"/>
        </w:rPr>
      </w:pPr>
    </w:p>
    <w:p>
      <w:pPr>
        <w:ind w:left="860" w:right="60" w:hanging="224"/>
        <w:spacing w:after="0" w:line="308"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price of the common stock. As a result the price of our common stock may be higher than the price that might otherwise exist in the open market. These transactions may be effected on The Nasdaq Global Market and, if commenced, may be discontinued at any time.</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Leerink Partners LLC, an underwriter in this offering, was the placement agent in our Series B financing in August 2015. Affiliates of Leerink Partners LLC were also investors in our Series B financing.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This prospectus supplement and accompanying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and accompanying prospectus in Australia:</w:t>
      </w:r>
    </w:p>
    <w:p>
      <w:pPr>
        <w:spacing w:after="0" w:line="52" w:lineRule="exact"/>
        <w:rPr>
          <w:sz w:val="20"/>
          <w:szCs w:val="20"/>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ind w:left="1300" w:hanging="218"/>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1300" w:hanging="218"/>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225"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To the extent that you are unable to confirm or warrant that you are an exempt sophisticated investor, associated person or professional investor under the Corporations Act any offer made to you under this prospectus supplement and accompanying prospectus is void and incapable of acceptance.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424"/>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securities issued to you pursuant to this prospectus supplement and accompanying prospectus for resale in Australia within 12 months of those securities being issued unless any such resale offer is exempt from the requirement to issue a disclosure document under section 708 of the Corporations Act.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Canadian Residents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Resale Restrictions</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Representations of Canadian Purchasers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By purchasing shares of our common stock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860" w:right="60" w:hanging="224"/>
        <w:spacing w:after="0" w:line="342"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shares of common stock without the benefit of a prospectus qualified under those securities laws as it is an “accredited investor” as defined under National Instrument 45-106 – Prospectus Exemptions,</w:t>
      </w:r>
    </w:p>
    <w:p>
      <w:pPr>
        <w:spacing w:after="0" w:line="29" w:lineRule="exact"/>
        <w:rPr>
          <w:rFonts w:ascii="Arial" w:cs="Arial" w:eastAsia="Arial" w:hAnsi="Arial"/>
          <w:sz w:val="16"/>
          <w:szCs w:val="16"/>
          <w:color w:val="auto"/>
        </w:rPr>
      </w:pPr>
    </w:p>
    <w:p>
      <w:pPr>
        <w:ind w:left="860" w:right="720" w:hanging="224"/>
        <w:spacing w:after="0" w:line="277"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Conflicts of Interest</w:t>
      </w:r>
    </w:p>
    <w:p>
      <w:pPr>
        <w:spacing w:after="0" w:line="117"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from having to provide certain conflict of interest disclosure in this document.</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Rights of Action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Enforcement of Legal Rights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Canadian purchasers of our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or each, a Relevant Member State, each underwriter represents and agrees that with effect from and including the date on which the Prospectus Directive is implemented in that Relevant Member State, or the Relevant Implementation Date, it has not made and will not make an offer of our common stock to the public in that Relevant Member State prior to the publication of a prospectus in relation to our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our common stock to the public in that Relevant Member State at any time:</w:t>
      </w:r>
    </w:p>
    <w:p>
      <w:pPr>
        <w:spacing w:after="0" w:line="83" w:lineRule="exact"/>
        <w:rPr>
          <w:sz w:val="20"/>
          <w:szCs w:val="20"/>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jc w:val="both"/>
        <w:ind w:left="860" w:hanging="224"/>
        <w:spacing w:after="0" w:line="264"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provided that no such offer of our common stock shall require the publication by the issuer or any underwriter of a prospectus pursuant to Article 3 of the Prospectus Directive.</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our common stock to be offered so as to enable an investor to decide to purchase or subscribe our common stock, as the same may be varied in that Relevant Member State by any measure implementing the Prospectus Directive in that Member State and the expression Prospectus Directive means Directive 2003/71/EC (and amendments thereto, including Directive 2010/73/EU, to the extent implemented in each Relevant Member State) and includes any relevant implementing measure in each Relevant Member State.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This prospectus supplement and accompanying prospectus has not been registered with the Registrar of Companies in Hong Kong. Accordingly, this prospectus supplement and accompanying prospectus may not be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the accompanying prospectus and the relevant offering documents and that he is not acquiring, and has not been offered any securities in circumstances that contravene any such restrictions.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the State of Israel this prospectus supplement and accompanying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and the underwriters have not and will not distribute this prospectus supplement and accompanying prospectus or make, distribute or direct an offer to subscribe for our common stock to any person within the State of Israel, other than to Qualified Investors and up to 35 Addressed Investors.</w:t>
      </w:r>
    </w:p>
    <w:p>
      <w:pPr>
        <w:spacing w:after="0" w:line="178"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prospectus supplement and accompanying prospectus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This prospectus supplement and accompanying prospectus has not been and will not be lodged or registered as a prospectus with the Monetary Authority of Singapore. Accordingly, this prospectus supplement,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accompanying prospectus and any other document or material in connection with the offer or sale, or invitation for subscription or purchase, of the shares of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1060" w:right="200" w:hanging="424"/>
        <w:spacing w:after="0" w:line="308"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42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7" w:lineRule="exact"/>
        <w:rPr>
          <w:sz w:val="20"/>
          <w:szCs w:val="20"/>
          <w:color w:val="auto"/>
        </w:rPr>
      </w:pPr>
    </w:p>
    <w:p>
      <w:pPr>
        <w:ind w:left="1060" w:right="120" w:hanging="424"/>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document is not intended to constitute an offer or solicitation to purchase or invest in the securities described herein. The securities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securities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securities may be publicly distributed or otherwise made publicly available in Switzerland.</w:t>
      </w:r>
    </w:p>
    <w:p>
      <w:pPr>
        <w:spacing w:after="0" w:line="16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nor the Company nor the securities have been or will be filed with or approved by any Swiss regulatory authority. The securities are not subject to the supervision by any Swiss regulatory authority, e.g., the Swiss Financial Markets Supervisory Authority FINMA (FINMA), and investors in the securities will not benefit from protection or supervision by such authority.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w:t>
      </w:r>
    </w:p>
    <w:p>
      <w:pPr>
        <w:spacing w:after="0" w:line="131" w:lineRule="exact"/>
        <w:rPr>
          <w:sz w:val="20"/>
          <w:szCs w:val="20"/>
          <w:color w:val="auto"/>
        </w:rPr>
      </w:pPr>
    </w:p>
    <w:p>
      <w:pPr>
        <w:ind w:left="1060" w:right="240" w:hanging="208"/>
        <w:spacing w:after="0" w:line="259"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has only communicated or caused to be communicated and will only communicate or cause to be communicated any invitation or inducement to engage in investment activity (within the meaning of section 21 of the Financial Services and Markets Act 2000, or the FSMA) in connection with the sale or issue of common stock in circumstances in which section 21 of the FSMA does not apply to such underwriter; and</w:t>
      </w:r>
    </w:p>
    <w:p>
      <w:pPr>
        <w:spacing w:after="0" w:line="92" w:lineRule="exact"/>
        <w:rPr>
          <w:rFonts w:ascii="Arial" w:cs="Arial" w:eastAsia="Arial" w:hAnsi="Arial"/>
          <w:sz w:val="18"/>
          <w:szCs w:val="18"/>
          <w:color w:val="auto"/>
        </w:rPr>
      </w:pPr>
    </w:p>
    <w:p>
      <w:pPr>
        <w:ind w:left="1060" w:hanging="208"/>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has complied with, and will comply with all applicable provisions of the FSMA with respect to anything done by it in relation to the shares of common stock in, from, or otherwise involving the United Kingdom.</w:t>
      </w:r>
    </w:p>
    <w:p>
      <w:pPr>
        <w:spacing w:after="0" w:line="170"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This prospectus supplement and accompanying prospectus is directed solely at persons who (i) are outside the United Kingdom or (ii) have professional experience in matters relating to investments or (iii) are persons falling within Article 49(2)(a) to (d) of the FSMA (Financial Promotion) Order 2005 (all such persons together being referred to as “relevant persons”). This prospectus supplement and accompanying prospectus must not be acted on or relied on by persons who are not relevant persons. Any investment or investment activity to which this prospectus supplement and accompanying prospectus relates is available only to relevant persons and will be engaged in with relevant persons only.</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080"/>
          </w:cols>
          <w:pgMar w:left="240" w:top="459" w:right="5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The underwriters are being represented in connection with this offering by Latham &amp; Watkins LLP.</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financial statements incorporated in this prospectus supplement and accompany prospectus by reference to the Annual Report on Form 10-K for the year ended December 31, 2016 have been so incorporated in reliance on the report of Deloitte &amp; Touche LLP, an independent registered public accounting firm, given on the authority of said firm as experts in auditing and accounting.</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100"/>
          </w:cols>
          <w:pgMar w:left="240" w:top="459" w:right="5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www.intelliatx.com</w:t>
      </w:r>
      <w:r>
        <w:rPr>
          <w:rFonts w:ascii="Arial" w:cs="Arial" w:eastAsia="Arial" w:hAnsi="Arial"/>
          <w:sz w:val="18"/>
          <w:szCs w:val="18"/>
          <w:color w:val="auto"/>
        </w:rPr>
        <w:t>. The information on our web site, however, is not, and should not be deemed to be, a part of this prospectus supplement or the accompanying prospectus.</w:t>
      </w:r>
    </w:p>
    <w:p>
      <w:pPr>
        <w:spacing w:after="0" w:line="17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This prospectus supplement and accompany prospectus is part of a registration statement on Form S-3 that we filed with the SEC and does not contain all of the information in the registration statement. The full registration statement may be obtained from the SEC or us, as provided above. Documents establishing the terms of the offered securities are or may be filed as exhibits to the registration statement. Statements in this prospectus supplement and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supplement and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Exchange Act,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This prospectus supplement and the accompanying prospectus incorporate by reference the documents set forth below that have previously been filed with the SEC:</w:t>
      </w:r>
    </w:p>
    <w:p>
      <w:pPr>
        <w:spacing w:after="0" w:line="76" w:lineRule="exact"/>
        <w:rPr>
          <w:sz w:val="20"/>
          <w:szCs w:val="20"/>
          <w:color w:val="auto"/>
        </w:rPr>
      </w:pPr>
    </w:p>
    <w:p>
      <w:pPr>
        <w:ind w:left="860" w:hanging="224"/>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2016, filed with the SEC on March 14, 2017;</w:t>
      </w:r>
    </w:p>
    <w:p>
      <w:pPr>
        <w:spacing w:after="0" w:line="130" w:lineRule="exact"/>
        <w:rPr>
          <w:rFonts w:ascii="Arial" w:cs="Arial" w:eastAsia="Arial" w:hAnsi="Arial"/>
          <w:sz w:val="18"/>
          <w:szCs w:val="18"/>
          <w:color w:val="auto"/>
        </w:rPr>
      </w:pPr>
    </w:p>
    <w:p>
      <w:pPr>
        <w:ind w:left="860" w:right="40" w:hanging="224"/>
        <w:spacing w:after="0" w:line="264"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2016 from our definitive proxy statement on Schedule 14A (other than information furnished rather than filed), which was filed with the SEC on April 18, 2017;</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20"/>
          </w:cols>
          <w:pgMar w:left="240" w:top="459" w:right="5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line="342" w:lineRule="auto"/>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Quarterly Reports on Form 10-Q filed with the SEC for the quarter ended March 31, 2017, filed with the SEC on May 2, 2017, the quarter ended June 30, 2017, filed with the SEC on August 1, 2017 and the quarter ended September 30, 2017, filed with the SEC on October 31, 2017;</w:t>
      </w:r>
    </w:p>
    <w:p>
      <w:pPr>
        <w:spacing w:after="0" w:line="29" w:lineRule="exact"/>
        <w:rPr>
          <w:rFonts w:ascii="Arial" w:cs="Arial" w:eastAsia="Arial" w:hAnsi="Arial"/>
          <w:sz w:val="16"/>
          <w:szCs w:val="16"/>
          <w:color w:val="auto"/>
        </w:rPr>
      </w:pPr>
    </w:p>
    <w:p>
      <w:pPr>
        <w:ind w:left="860" w:right="400" w:hanging="224"/>
        <w:spacing w:after="0" w:line="277"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Reports on Form 8-K filed with the SEC on February 15, 2017, April 13, 2017, May 18, 2017, July 25, 2017, August 8, 2017, and September 1, 2017; and</w:t>
      </w:r>
    </w:p>
    <w:p>
      <w:pPr>
        <w:spacing w:after="0" w:line="75" w:lineRule="exact"/>
        <w:rPr>
          <w:rFonts w:ascii="Arial" w:cs="Arial" w:eastAsia="Arial" w:hAnsi="Arial"/>
          <w:sz w:val="18"/>
          <w:szCs w:val="18"/>
          <w:color w:val="auto"/>
        </w:rPr>
      </w:pPr>
    </w:p>
    <w:p>
      <w:pPr>
        <w:ind w:left="860" w:right="840" w:hanging="224"/>
        <w:spacing w:after="0" w:line="342" w:lineRule="auto"/>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filed with the SEC on May 5, 2016 under Section 12(b) of the Exchange Act, including any amendments or reports filed for the purpose of updating such description.</w:t>
      </w:r>
    </w:p>
    <w:p>
      <w:pPr>
        <w:spacing w:after="0" w:line="124" w:lineRule="exact"/>
        <w:rPr>
          <w:sz w:val="20"/>
          <w:szCs w:val="20"/>
          <w:color w:val="auto"/>
        </w:rPr>
      </w:pPr>
    </w:p>
    <w:p>
      <w:pPr>
        <w:jc w:val="both"/>
        <w:ind w:left="200" w:right="140" w:firstLine="441"/>
        <w:spacing w:after="0" w:line="276" w:lineRule="auto"/>
        <w:rPr>
          <w:sz w:val="20"/>
          <w:szCs w:val="20"/>
          <w:color w:val="auto"/>
        </w:rPr>
      </w:pPr>
      <w:r>
        <w:rPr>
          <w:rFonts w:ascii="Arial" w:cs="Arial" w:eastAsia="Arial" w:hAnsi="Arial"/>
          <w:sz w:val="17"/>
          <w:szCs w:val="17"/>
          <w:color w:val="auto"/>
        </w:rPr>
        <w:t>Upon request, we will provide, without charge, to each person, including any beneficial owner, to whom a copy of this prospectus supplement is delivered, a copy of the documents incorporated by reference into this prospectus supplement and the accompanying prospectus but not delivered with this prospectus supplement and accompanying prospectus. You may request a copy of these filings, and any exhibits we have specifically incorporated by reference as an exhibit in this prospectus supplement, at no cost by writing or telephoning us at the following address: Intellia Therapeutics, Inc., 40 Erie Street, Suite 130, Cambridge, Massachusetts 02139; telephone: (857) 285-6200 .</w:t>
      </w:r>
    </w:p>
    <w:p>
      <w:pPr>
        <w:spacing w:after="0" w:line="173"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 xml:space="preserve">You may also access these documents free of charge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on our website at </w:t>
      </w:r>
      <w:r>
        <w:rPr>
          <w:rFonts w:ascii="Arial" w:cs="Arial" w:eastAsia="Arial" w:hAnsi="Arial"/>
          <w:sz w:val="16"/>
          <w:szCs w:val="16"/>
          <w:i w:val="1"/>
          <w:iCs w:val="1"/>
          <w:color w:val="auto"/>
        </w:rPr>
        <w:t>www.intelliatx.com</w:t>
      </w:r>
      <w:r>
        <w:rPr>
          <w:rFonts w:ascii="Arial" w:cs="Arial" w:eastAsia="Arial" w:hAnsi="Arial"/>
          <w:sz w:val="16"/>
          <w:szCs w:val="16"/>
          <w:color w:val="auto"/>
        </w:rPr>
        <w:t>.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47"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This prospectus supplement and the accompanying prospectus are part of a registration statement we filed with the SEC. We have incorporated exhibits into the registration statement. You should read the exhibits carefully for provisions that may be important to you.</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and the accompanying prospectus. We have not authorized anyone to provide you with different information. 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may from time to time issue, in one or more series or classes, up to $250,000,000 in aggregate principal amount of our common stock, preferred stock, debt securities, warrants and/or units. We may offer these securities separately or together in units. We will specify in the applicable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applicable accompanying prospectus supplement. We may not sell any securities under this prospectus without delivery of the applicable prospectus supplement.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Our common stock is listed on The NASDAQ Global Market under the symbol “NTLA.” On June 1, 2017, the closing price for our common stock, as reported on The NASDAQ Global Market, was $12.20 per share. Our principal executive office is located at 40 Erie Street, Suite 130, Cambridge, Massachusetts 02139.</w:t>
      </w:r>
    </w:p>
    <w:p>
      <w:pPr>
        <w:spacing w:after="0" w:line="168" w:lineRule="exact"/>
        <w:rPr>
          <w:sz w:val="20"/>
          <w:szCs w:val="20"/>
          <w:color w:val="auto"/>
        </w:rPr>
      </w:pPr>
    </w:p>
    <w:p>
      <w:pPr>
        <w:ind w:right="8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You should review carefully the risks and uncertainties referenced under the heading “</w:t>
      </w:r>
      <w:hyperlink w:anchor="page7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contained in this prospectus beginning on page 2 and any applicable prospectus supplement, and under similar headings in the other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June 16, 2017.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6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520" w:type="dxa"/>
            <w:vAlign w:val="bottom"/>
            <w:gridSpan w:val="15"/>
            <w:vMerge w:val="restart"/>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About this Prospectus</w:t>
              </w:r>
            </w:hyperlink>
          </w:p>
        </w:tc>
        <w:tc>
          <w:tcPr>
            <w:tcW w:w="65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520" w:type="dxa"/>
            <w:vAlign w:val="bottom"/>
            <w:gridSpan w:val="15"/>
            <w:vMerge w:val="continue"/>
          </w:tcPr>
          <w:p>
            <w:pPr>
              <w:spacing w:after="0"/>
              <w:rPr>
                <w:sz w:val="14"/>
                <w:szCs w:val="14"/>
                <w:color w:val="auto"/>
              </w:rPr>
            </w:pPr>
          </w:p>
        </w:tc>
        <w:tc>
          <w:tcPr>
            <w:tcW w:w="654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Risk Factors</w:t>
              </w:r>
            </w:hyperlink>
          </w:p>
        </w:tc>
        <w:tc>
          <w:tcPr>
            <w:tcW w:w="660" w:type="dxa"/>
            <w:vAlign w:val="bottom"/>
            <w:tcBorders>
              <w:top w:val="single" w:sz="8" w:color="0000EE"/>
            </w:tcBorders>
            <w:gridSpan w:val="6"/>
          </w:tcPr>
          <w:p>
            <w:pPr>
              <w:spacing w:after="0"/>
              <w:rPr>
                <w:sz w:val="17"/>
                <w:szCs w:val="17"/>
                <w:color w:val="auto"/>
              </w:rPr>
            </w:pPr>
          </w:p>
        </w:tc>
        <w:tc>
          <w:tcPr>
            <w:tcW w:w="2940" w:type="dxa"/>
            <w:vAlign w:val="bottom"/>
            <w:gridSpan w:val="7"/>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Cautionary Statement Regarding Forward-Looking Statements</w:t>
              </w:r>
            </w:hyperlink>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The Company</w:t>
              </w:r>
            </w:hyperlink>
          </w:p>
        </w:tc>
        <w:tc>
          <w:tcPr>
            <w:tcW w:w="3480" w:type="dxa"/>
            <w:vAlign w:val="bottom"/>
            <w:gridSpan w:val="11"/>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520" w:type="dxa"/>
            <w:vAlign w:val="bottom"/>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Ratio of Earnings to Fixed Charges</w:t>
              </w:r>
            </w:hyperlink>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8"/>
          </w:tcPr>
          <w:p>
            <w:pPr>
              <w:spacing w:after="0"/>
              <w:rPr>
                <w:sz w:val="17"/>
                <w:szCs w:val="17"/>
                <w:color w:val="auto"/>
              </w:rPr>
            </w:pPr>
          </w:p>
        </w:tc>
        <w:tc>
          <w:tcPr>
            <w:tcW w:w="1980" w:type="dxa"/>
            <w:vAlign w:val="bottom"/>
            <w:gridSpan w:val="2"/>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520" w:type="dxa"/>
            <w:vAlign w:val="bottom"/>
            <w:gridSpan w:val="1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Securities We May Offer</w:t>
              </w:r>
            </w:hyperlink>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1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Description of Capital Stock</w:t>
              </w:r>
            </w:hyperlink>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Description of Debt Securities</w:t>
              </w:r>
            </w:hyperlink>
          </w:p>
        </w:tc>
        <w:tc>
          <w:tcPr>
            <w:tcW w:w="2320" w:type="dxa"/>
            <w:vAlign w:val="bottom"/>
            <w:gridSpan w:val="3"/>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Description of Warrants</w:t>
              </w:r>
            </w:hyperlink>
          </w:p>
        </w:tc>
        <w:tc>
          <w:tcPr>
            <w:tcW w:w="2720" w:type="dxa"/>
            <w:vAlign w:val="bottom"/>
            <w:gridSpan w:val="6"/>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Description of Units</w:t>
              </w:r>
            </w:hyperlink>
          </w:p>
        </w:tc>
        <w:tc>
          <w:tcPr>
            <w:tcW w:w="3040" w:type="dxa"/>
            <w:vAlign w:val="bottom"/>
            <w:gridSpan w:val="8"/>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Plan of Distribution</w:t>
              </w:r>
            </w:hyperlink>
          </w:p>
        </w:tc>
        <w:tc>
          <w:tcPr>
            <w:tcW w:w="3080" w:type="dxa"/>
            <w:vAlign w:val="bottom"/>
            <w:gridSpan w:val="9"/>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Legal Matters</w:t>
              </w:r>
            </w:hyperlink>
          </w:p>
        </w:tc>
        <w:tc>
          <w:tcPr>
            <w:tcW w:w="3500" w:type="dxa"/>
            <w:vAlign w:val="bottom"/>
            <w:gridSpan w:val="12"/>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Experts</w:t>
              </w:r>
            </w:hyperlink>
          </w:p>
        </w:tc>
        <w:tc>
          <w:tcPr>
            <w:tcW w:w="3960" w:type="dxa"/>
            <w:vAlign w:val="bottom"/>
            <w:gridSpan w:val="14"/>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Where You Can Find More Information</w:t>
              </w:r>
            </w:hyperlink>
          </w:p>
        </w:tc>
        <w:tc>
          <w:tcPr>
            <w:tcW w:w="1640" w:type="dxa"/>
            <w:vAlign w:val="bottom"/>
          </w:tcPr>
          <w:p>
            <w:pPr>
              <w:spacing w:after="0"/>
              <w:rPr>
                <w:sz w:val="17"/>
                <w:szCs w:val="17"/>
                <w:color w:val="auto"/>
              </w:rPr>
            </w:pPr>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520" w:type="dxa"/>
            <w:vAlign w:val="bottom"/>
            <w:gridSpan w:val="1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Incorporation by Reference</w:t>
              </w:r>
            </w:hyperlink>
          </w:p>
        </w:tc>
        <w:tc>
          <w:tcPr>
            <w:tcW w:w="68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$250,000,000.</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applicable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28 of this prospectus.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the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the context suggests otherwise, all references to “us,” “our,” “Intellia Therapeutics,” “we,” the “Company” and similar designations refer to Intellia Therapeutics, Inc. and, where appropriate, our subsidiary.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referenced below and described in the documents incorporated herein by reference, including (i) our annual report on Form 10-K for the fiscal year ended December 31, 2016, which is on file with the SEC and is incorporated herein by reference, (ii) our quarterly report on Form 10-Q for the quarter ended March 31, 2017, which is incorporated by reference into this prospectus, and (iii) other documents we file with the SEC that are deemed incorporated by reference into this prospectus.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94"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apply a risk-mitigated strategy to efficiently discover and develop product candidates, including by applying learnings from one program to other programs;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create a pipeline of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advance any product candidates into, and successfully complete,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advance our therapeutic delivery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operate, including commercializing products, without infringing the proprietary rights of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regulatory guidance regarding preclinical and clinical studies for gene editing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and our ability to enter into strategic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licenses or obtain additional funding;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expected uses of the net proceeds from any offering of our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our industry.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2016 and our most recent Quarterly Report on Form 10-Q for the quarter ended March 31, 2017, and our Current Reports on Form 8-K, and the section of any accompanying prospectus supplement entitled “Risk Factors.”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forward-looking statements in this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leading genome editing company focused on the development of proprietary, potentially curative therapeutics utilizing a biological tool known as CRISPR/Cas9. We believe that the CRISPR/Cas9 technology has the potential to transform medicine by permanently editing disease-associated genes or genetic material in the human body with a single treatment course. We intend to leverage our leading scientific expertise, clinical development experience and intellectual property position to unlock broad therapeutic applications of CRISPR/Cas9 genome editing and develop a potential new class of therapeutic products.</w:t>
      </w:r>
    </w:p>
    <w:p>
      <w:pPr>
        <w:spacing w:after="0" w:line="18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2012, one of our co-founders and current scientific advisors, Dr. Jennifer Doudna, and her colleagues published a paper in the journal Science describing the use of CRISPR/Cas9 as a genome editing tool. Genome editing is the precise and targeted modification of the genetic material of cells or viruses. Since the publication of Dr. Doudna’s landmark paper, thousands of research papers have been published on the CRISPR/Cas9 technology. The CRISPR/Cas9 system offers a revolutionary approach for therapeutic development due to its broad potential to precisely edit the genome. This system can be used to make three general types of edits: knockouts, repairs and insertions. Each of these editing strategies takes advantage of naturally-occurring biological mechanisms to effect the desired genetic alteration. By addressing the underlying cause of the disease, this approach has the potential to provide curative therapeutic options for patients with genetically-based diseases.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plan to use the CRISPR/Cas9 system across two broad areas: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applications, in which CRISPR/Cas9 therapeutic products are delivered directly to target cells within the body;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 in which cells are removed from a patient’s body, modified using CRISPR/Cas9 and then returned to the patient. Initially, our in vivo pipeline includes proprietary programs targeting transthyretin amyloidosis (ATTR), which we are co-developing with Regeneron Pharmaceuticals, Inc. (Regeneron), chronic hepatitis B infection, alpha-1 antitrypsin deficiency (AATD) and inborn errors of metabolism (IEMs). Our initial </w:t>
      </w:r>
      <w:r>
        <w:rPr>
          <w:rFonts w:ascii="Arial" w:cs="Arial" w:eastAsia="Arial" w:hAnsi="Arial"/>
          <w:sz w:val="18"/>
          <w:szCs w:val="18"/>
          <w:i w:val="1"/>
          <w:iCs w:val="1"/>
          <w:color w:val="auto"/>
        </w:rPr>
        <w:t xml:space="preserve">ex vivo </w:t>
      </w:r>
      <w:r>
        <w:rPr>
          <w:rFonts w:ascii="Arial" w:cs="Arial" w:eastAsia="Arial" w:hAnsi="Arial"/>
          <w:sz w:val="18"/>
          <w:szCs w:val="18"/>
          <w:color w:val="auto"/>
        </w:rPr>
        <w:t>pipeline includes both proprietary and partnered programs focused on chimeric antigen receptor T cells (CAR-T cells) and hematopoietic stem cells</w:t>
      </w:r>
      <w:r>
        <w:rPr>
          <w:rFonts w:ascii="Arial" w:cs="Arial" w:eastAsia="Arial" w:hAnsi="Arial"/>
          <w:sz w:val="18"/>
          <w:szCs w:val="18"/>
          <w:i w:val="1"/>
          <w:iCs w:val="1"/>
          <w:color w:val="auto"/>
        </w:rPr>
        <w:t xml:space="preserve"> </w:t>
      </w:r>
      <w:r>
        <w:rPr>
          <w:rFonts w:ascii="Arial" w:cs="Arial" w:eastAsia="Arial" w:hAnsi="Arial"/>
          <w:sz w:val="18"/>
          <w:szCs w:val="18"/>
          <w:color w:val="auto"/>
        </w:rPr>
        <w:t>(HSCs), the stem cells from which all of the various types of blood cells originate, which we are developing in collaboration with Novartis Institutes for BioMedical Research, Inc. (Novartis).</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not profitable and have incurred losses in each period since our inception. Our net loss was $31.6 million for the year ended December 31, 2016 and $12.6 million for the three months ended March 31, 2017. As of December 31, 2016, we had an accumulated deficit of $53.6 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 As of March 31, 2017, we had $257.6 million of cash and cash equivalents.</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We would cease to be an emerging growth company on the date that is the earliest of: (i) the last day of the fiscal year in which we have total annual gross revenues of $1 billion or more; (ii) December 31, 2020; (iii) the date on which we have issued more than $1 billion in nonconvertible debt during the previous three years; or (iv) the date on which we are deemed to be a large accelerated filer under the rules of the SEC.</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were incorporated under the laws of the state of Delaware in May 2014 under the name AZRN, Inc. Our principal executive offices are located at 40 Erie Street Suite 130, Cambridge, Massachusetts 02139. Our telephone number is (857) 285-6200, and our website is located at www.intelliatx.com. No portion of our website is incorporated by reference into this prospectus. We do not incorporate the information on or accessible through our website into this prospectus, and you should not consider any information on, or that can be accessed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through, our website as part of this prospectus. Our common stock trades on The NASDAQ Global Market under the symbol “NTLA”.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sets forth our ratio of earnings to fixed charges for the periods shown. You should read this table in conjunction with the financial statements and notes incorporated by reference in this prospectus. We paid no dividends on preferred shares during the periods indicated. Therefore, the ratios of earnings to combined fixed charges and preferred dividends are the same as the ratios of earnings to fixed charges presented below.</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Three</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Months</w:t>
            </w:r>
          </w:p>
        </w:tc>
        <w:tc>
          <w:tcPr>
            <w:tcW w:w="380" w:type="dxa"/>
            <w:vAlign w:val="bottom"/>
          </w:tcPr>
          <w:p>
            <w:pPr>
              <w:spacing w:after="0"/>
              <w:rPr>
                <w:sz w:val="14"/>
                <w:szCs w:val="14"/>
                <w:color w:val="auto"/>
              </w:rPr>
            </w:pPr>
          </w:p>
        </w:tc>
        <w:tc>
          <w:tcPr>
            <w:tcW w:w="124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Years Ended</w:t>
            </w: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May 7, 2014</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1240" w:type="dxa"/>
            <w:vAlign w:val="bottom"/>
            <w:gridSpan w:val="3"/>
          </w:tcPr>
          <w:p>
            <w:pPr>
              <w:jc w:val="center"/>
              <w:ind w:right="27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380" w:type="dxa"/>
            <w:vAlign w:val="bottom"/>
            <w:gridSpan w:val="2"/>
            <w:vMerge w:val="restart"/>
          </w:tcPr>
          <w:p>
            <w:pPr>
              <w:jc w:val="center"/>
              <w:ind w:right="760"/>
              <w:spacing w:after="0" w:line="126"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79"/>
        </w:trPr>
        <w:tc>
          <w:tcPr>
            <w:tcW w:w="59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9"/>
              </w:rPr>
              <w:t>2016</w:t>
            </w:r>
          </w:p>
        </w:tc>
        <w:tc>
          <w:tcPr>
            <w:tcW w:w="124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7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60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N/A</w:t>
            </w: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7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For purposes of calculating the ratios in the table above, earnings consist of net loss before income taxes. Fixed charges include any interest expense on indebtedness and an estimate of the interest expense within rental expense. We had no indebtedness for any of the periods presented.</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our net losses for the three months ended March 31, 2017, for the years ended December 31, 2016 and 2015, and for the period from May 7, 2014 (inception) to December 31, 2014, earnings were insufficient to cover fixed charges for such periods and we are unable to disclose a ratio of earnings to fixed charges for such periods. The dollar amount of the deficiency in earnings available for fixed charges for the three months ended March 31, 2017, for the years ended December 31, 2016 and 2015, and for the period from May 7, 2014 (inception) to December 31, 2014 was approximately $12.6 million, $31.6 million, $12.4 million, and $9.5 million, respectively.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and clinical development costs to support the advancement of our potential product candidates and the expansion of our research development programs; working capital; capital expenditures; office expansion; and other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authorized capital stock consists of 120,000,000 shares of common stock, par value $0.0001 per share, and 5,000,000 shares of preferred stock, par value $0.0001 per share, all of which are undesignated preferred stock. As of May 31, 2017, we had 36,029,095 shares of common stock outstanding and no shares of preferred stock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When we issue shares of common stock under this prospectus, the shares will fully be paid and nonassessable and will not have, or be subject to, any preemptive or similar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Undesignated Preferred Stock</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board of directors is authorized to issue up to 5,000,000 shares of undesignated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may fix are:</w:t>
      </w:r>
    </w:p>
    <w:p>
      <w:pPr>
        <w:spacing w:after="0" w:line="29"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terms of redemption;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sinking fund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number of shares constituting, or the designation of, such series, any or all of which may be greater than the rights of common stock.</w:t>
      </w:r>
    </w:p>
    <w:p>
      <w:pPr>
        <w:spacing w:after="0" w:line="2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6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29"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42" w:lineRule="exact"/>
        <w:rPr>
          <w:rFonts w:ascii="Arial" w:cs="Arial" w:eastAsia="Arial" w:hAnsi="Arial"/>
          <w:sz w:val="17"/>
          <w:szCs w:val="17"/>
          <w:color w:val="auto"/>
        </w:rPr>
      </w:pPr>
    </w:p>
    <w:p>
      <w:pPr>
        <w:ind w:left="900" w:right="64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be subject to any preemptive or similar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Provisions of our Restated Certificate of Incorporation and Amended and Restated Bylaws</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Certain provisions of the Delaware General Corporation Law and of our restated certificate of incorporation and amended and restated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Takeover Statute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2" w:lineRule="exact"/>
        <w:rPr>
          <w:sz w:val="20"/>
          <w:szCs w:val="20"/>
          <w:color w:val="auto"/>
        </w:rPr>
      </w:pPr>
    </w:p>
    <w:p>
      <w:pPr>
        <w:ind w:left="900" w:right="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92"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of our Restated Certificate of Incorporation and Amended and Restated Bylaws</w:t>
      </w:r>
    </w:p>
    <w:p>
      <w:pPr>
        <w:spacing w:after="0" w:line="11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Our restated certificate of incorporation and amended and restated bylaws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Board composition and filling vacancies</w:t>
      </w:r>
      <w:r>
        <w:rPr>
          <w:rFonts w:ascii="Arial" w:cs="Arial" w:eastAsia="Arial" w:hAnsi="Arial"/>
          <w:sz w:val="17"/>
          <w:szCs w:val="17"/>
          <w:color w:val="auto"/>
        </w:rPr>
        <w:t>. In accordance with our restated certificate of incorporation, our board is divided into three classes serving staggered</w:t>
      </w:r>
      <w:r>
        <w:rPr>
          <w:rFonts w:ascii="Arial" w:cs="Arial" w:eastAsia="Arial" w:hAnsi="Arial"/>
          <w:sz w:val="17"/>
          <w:szCs w:val="17"/>
          <w:i w:val="1"/>
          <w:iCs w:val="1"/>
          <w:color w:val="auto"/>
        </w:rPr>
        <w:t xml:space="preserve"> </w:t>
      </w:r>
      <w:r>
        <w:rPr>
          <w:rFonts w:ascii="Arial" w:cs="Arial" w:eastAsia="Arial" w:hAnsi="Arial"/>
          <w:sz w:val="17"/>
          <w:szCs w:val="17"/>
          <w:color w:val="auto"/>
        </w:rPr>
        <w:t>three-year terms, with one class being elected each year. Our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No written consent of stockholders</w:t>
      </w:r>
      <w:r>
        <w:rPr>
          <w:rFonts w:ascii="Arial" w:cs="Arial" w:eastAsia="Arial" w:hAnsi="Arial"/>
          <w:sz w:val="18"/>
          <w:szCs w:val="18"/>
          <w:color w:val="auto"/>
        </w:rPr>
        <w:t>. Our restated certificate of incorporation provides that all stockholder actions are required to be taken by a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Meetings of stockholders</w:t>
      </w:r>
      <w:r>
        <w:rPr>
          <w:rFonts w:ascii="Arial" w:cs="Arial" w:eastAsia="Arial" w:hAnsi="Arial"/>
          <w:sz w:val="16"/>
          <w:szCs w:val="16"/>
          <w:color w:val="auto"/>
        </w:rPr>
        <w:t>. 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Advance notice requirements</w:t>
      </w:r>
      <w:r>
        <w:rPr>
          <w:rFonts w:ascii="Arial" w:cs="Arial" w:eastAsia="Arial" w:hAnsi="Arial"/>
          <w:sz w:val="17"/>
          <w:szCs w:val="17"/>
          <w:color w:val="auto"/>
        </w:rPr>
        <w:t>. Our bylaws establish advance notice procedures with regard to stockholder proposals relating to the nomination of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bylaws.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Amendment to certificate of incorporation and bylaws</w:t>
      </w:r>
      <w:r>
        <w:rPr>
          <w:rFonts w:ascii="Arial" w:cs="Arial" w:eastAsia="Arial" w:hAnsi="Arial"/>
          <w:sz w:val="16"/>
          <w:szCs w:val="16"/>
          <w:color w:val="auto"/>
        </w:rPr>
        <w:t>. As required by the Delaware General Corporation Law, any amendment of our restated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restated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restated certificate of incorporation provides for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will describe in the applicable prospectus supplement or free writing prospectus the terms of the series of debt securities being offered, including:</w:t>
      </w:r>
    </w:p>
    <w:p>
      <w:pPr>
        <w:spacing w:after="0" w:line="142"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depository will be;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75"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whether the indenture will require us to maintain any interest coverage, fixed charge, cash flow-based, asset-based or other financial ratios;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discussion of certain material or special United States federal income tax considerations applicable to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 and</w:t>
      </w:r>
    </w:p>
    <w:p>
      <w:pPr>
        <w:spacing w:after="0" w:line="153" w:lineRule="exact"/>
        <w:rPr>
          <w:rFonts w:ascii="Arial" w:cs="Arial" w:eastAsia="Arial" w:hAnsi="Arial"/>
          <w:sz w:val="16"/>
          <w:szCs w:val="16"/>
          <w:color w:val="auto"/>
        </w:rPr>
      </w:pPr>
    </w:p>
    <w:p>
      <w:pPr>
        <w:ind w:left="900" w:right="2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or Exchange Rights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must make provisions for the conversion of the debt securities into securities that the holders of the debt securities would have received if they had converted the debt securities before the consolidation, merger or sale.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Under the Indenture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76"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42"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will describe in each applicable prospectus supplement or free writing prospectus any additional events of default relating to the relevant series of debt securities.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4"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if:</w:t>
      </w:r>
    </w:p>
    <w:p>
      <w:pPr>
        <w:spacing w:after="0" w:line="7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jc w:val="both"/>
        <w:ind w:left="900" w:right="360" w:hanging="325"/>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Indenture; Waiver</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7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Our Debt Securities—Consolidation, Merger or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“Description of Our Debt Securities—General,”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such purpose;</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29"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extending the stated maturity of the series of debt securities;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or repurchase of any debt securities;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7"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w:t>
      </w:r>
    </w:p>
    <w:p>
      <w:pPr>
        <w:spacing w:after="0" w:line="15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77" w:lineRule="exact"/>
        <w:rPr>
          <w:sz w:val="20"/>
          <w:szCs w:val="20"/>
          <w:color w:val="auto"/>
        </w:rPr>
      </w:pPr>
    </w:p>
    <w:p>
      <w:pPr>
        <w:ind w:left="900" w:right="100" w:hanging="325"/>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Concerning the Trustee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8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and Paying Agents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Ranking of Debt Securities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9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52" w:lineRule="exact"/>
        <w:rPr>
          <w:sz w:val="20"/>
          <w:szCs w:val="20"/>
          <w:color w:val="auto"/>
        </w:rPr>
      </w:pPr>
    </w:p>
    <w:p>
      <w:pPr>
        <w:ind w:left="90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of the financial and other specific terms of a particular series of units will be described in the applicable prospectus supplement.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900" w:right="4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900" w:right="2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900" w:right="620" w:hanging="325"/>
        <w:spacing w:after="0" w:line="34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900" w:right="16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75" w:lineRule="exact"/>
        <w:rPr>
          <w:rFonts w:ascii="Arial" w:cs="Arial" w:eastAsia="Arial" w:hAnsi="Arial"/>
          <w:sz w:val="18"/>
          <w:szCs w:val="18"/>
          <w:color w:val="auto"/>
        </w:rPr>
      </w:pPr>
    </w:p>
    <w:p>
      <w:pPr>
        <w:ind w:left="900" w:right="180" w:hanging="325"/>
        <w:spacing w:after="0" w:line="31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5"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prospectus supplement with respect to the securities of a particular series will describe the terms of the offering of the securities, including the following:</w:t>
      </w:r>
    </w:p>
    <w:p>
      <w:pPr>
        <w:spacing w:after="0" w:line="154"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900" w:right="36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5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financial statements incorporated in this Prospectus by reference from the Company’s Annual Report on Form 10-K have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Sec, Intellia Therapeutics, Inc., 40 Erie Street, Suite 130, Cambridge, Massachusetts 02139; telephone: (857) 285-6200 . Information contained on our website is not incorporated by reference into this prospectus and, therefore, is not part of this prospectus or any accompanying prospectus supplement.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(SEC File No. 001-37766),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after the date of this prospectus and prior to the termination of this offering:</w:t>
      </w:r>
    </w:p>
    <w:p>
      <w:pPr>
        <w:spacing w:after="0" w:line="95"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2016, filed with the SEC on March 14, 2017;</w:t>
      </w:r>
    </w:p>
    <w:p>
      <w:pPr>
        <w:spacing w:after="0" w:line="130"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specifically incorporated by reference into our Annual Report on Form 10-K for the year ended December 31, 2016 from our definitive proxy statement on Schedule 14A (other than information furnished rather than filed), which was filed with the SEC on April 18, 2017;</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Quarterly Report on Form 10-Q filed with the SEC for the quarter ended March 31, 2017, filed with the SEC on May 2,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Current Reports on Form 8-K filed with the SEC on February 15, 2017 and April 13, 2017; and</w:t>
      </w:r>
    </w:p>
    <w:p>
      <w:pPr>
        <w:spacing w:after="0" w:line="130" w:lineRule="exact"/>
        <w:rPr>
          <w:rFonts w:ascii="Arial" w:cs="Arial" w:eastAsia="Arial" w:hAnsi="Arial"/>
          <w:sz w:val="18"/>
          <w:szCs w:val="18"/>
          <w:color w:val="auto"/>
        </w:rPr>
      </w:pPr>
    </w:p>
    <w:p>
      <w:pPr>
        <w:ind w:left="900" w:right="1000" w:hanging="325"/>
        <w:spacing w:after="0" w:line="34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filed with the SEC on May 5, 2016 under Section 12(b) of the Exchange Act, including any amendments or reports filed for the purpose of updating such description.</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40 Erie Street, Suite 130, Cambridge, Massachusetts 02139; telephone: (857) 285-6200.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You may also access these documents,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on our website at </w:t>
      </w:r>
      <w:r>
        <w:rPr>
          <w:rFonts w:ascii="Arial" w:cs="Arial" w:eastAsia="Arial" w:hAnsi="Arial"/>
          <w:sz w:val="18"/>
          <w:szCs w:val="18"/>
          <w:i w:val="1"/>
          <w:iCs w:val="1"/>
          <w:color w:val="auto"/>
        </w:rPr>
        <w:t>www.intelliatx.com</w:t>
      </w:r>
      <w:r>
        <w:rPr>
          <w:rFonts w:ascii="Arial" w:cs="Arial" w:eastAsia="Arial" w:hAnsi="Arial"/>
          <w:sz w:val="18"/>
          <w:szCs w:val="18"/>
          <w:color w:val="auto"/>
        </w:rPr>
        <w:t>. Information contained on our website is not incorporated by reference into this prospectus, and you should not consider any information on, or that can be accessed from, our website as part of this prospectus or any accompanying prospectus supplement.</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6997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271780</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29"/>
          <w:szCs w:val="29"/>
          <w:color w:val="auto"/>
        </w:rPr>
        <w:t>$150,000,000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9"/>
          <w:szCs w:val="29"/>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tabs>
          <w:tab w:leader="none" w:pos="4940" w:val="left"/>
          <w:tab w:leader="none" w:pos="894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8"/>
          <w:szCs w:val="28"/>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177800</wp:posOffset>
            </wp:positionV>
            <wp:extent cx="6997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220980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lowerRoman"/>
      <w:start w:val="5"/>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decimal"/>
      <w:start w:val="1"/>
    </w:lvl>
    <w:lvl w:ilvl="1">
      <w:lvlJc w:val="left"/>
      <w:lvlText w:val="•"/>
      <w:numFmt w:val="bullet"/>
      <w:start w:val="1"/>
    </w:lvl>
  </w:abstractNum>
  <w:abstractNum w:abstractNumId="41">
    <w:nsid w:val="10233C99"/>
    <w:multiLevelType w:val="hybridMultilevel"/>
    <w:lvl w:ilvl="0">
      <w:lvlJc w:val="left"/>
      <w:lvlText w:val="%1."/>
      <w:numFmt w:val="decimal"/>
      <w:start w:val="2"/>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2019-12-08T03:54:37Z</dcterms:created>
  <dcterms:modified xsi:type="dcterms:W3CDTF">2019-12-08T03:54:37Z</dcterms:modified>
</cp:coreProperties>
</file>