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48543d424b5.htm"/>
        <w:bookmarkStart w:id="1" w:name="ksd848543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Statement No. 333- 275740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24, 2023) </w:t>
      </w:r>
    </w:p>
    <w:p>
      <w:pPr>
        <w:pStyle w:val="TextBody"/>
        <w:bidi w:val="0"/>
        <w:spacing w:before="240" w:after="0"/>
        <w:jc w:val="center"/>
        <w:rPr>
          <w:rFonts w:ascii="Times New Roman" w:hAnsi="Times New Roman"/>
          <w:b/>
          <w:sz w:val="36"/>
        </w:rPr>
      </w:pPr>
      <w:r>
        <w:rPr>
          <w:rFonts w:ascii="Times New Roman" w:hAnsi="Times New Roman"/>
          <w:b/>
          <w:sz w:val="36"/>
        </w:rPr>
        <w:t xml:space="preserve">Up to $400,000,000 of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73150" cy="405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3150" cy="4051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Open Market Sale AgreementSM, as amended by Amendment No. 1 to Open Market Sale AgreementSM, dated February 23, 2024, and Amendment No. 2 to Open Market Sale AgreementSM, dated March 2, 2026, (or collectively, the “Sales Agreement”), with Jefferies LLC, or Jefferies, relating to shares of our common stock, par value $0.0001 per share, offered by this prospectus supplement. In accordance with the terms of the Sales Agreement, we may offer and sell shares of our common stock having an aggregate offering price of up to $400,000,000 from time to time through Jefferies, acting as sales agent. Sales of the shares of common stock, if any, may be made on the Nasdaq Global Market at market prices and such other sales as agreed upon by us and Jefferies,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“NTLA.” On February 26, 2026, the last reported sale price of our common stock on the Nasdaq Global Market was $14.28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may be made in sales deemed to be an “at the market offering” as defined in Rule 415(a)(4) promulgated under the Securities Act of 1933, as amended, or the Securities Act. Jefferies is not required to sell any specific number or dollar amount of securities, but will act as sales agent on a best efforts basis and use commercially reasonable efforts to sell on our behalf all of the shares of common stock requested to be sold by us, consistent with its normal trading and sales practices, on mutually agreed terms between us and Jefferies.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be entitled to compensation at a fixed commission rate of up to 3.0% of the gross sales price per common share sold under the Sales Agreement. See “Plan of Distribution” beginning on page S-23 for additional information regarding the compensation to be paid to Jefferies.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oc848543_4">
        <w:r>
          <w:rPr>
            <w:rStyle w:val="InternetLink"/>
            <w:rFonts w:ascii="Times New Roman" w:hAnsi="Times New Roman"/>
            <w:b/>
            <w:sz w:val="24"/>
          </w:rPr>
          <w:t>Risk Factors</w:t>
        </w:r>
      </w:hyperlink>
      <w:r>
        <w:rPr>
          <w:rFonts w:ascii="Times New Roman" w:hAnsi="Times New Roman"/>
          <w:b/>
          <w:sz w:val="24"/>
        </w:rPr>
        <w:t xml:space="preserve">” on page S-7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March 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4"/>
        <w:gridCol w:w="142"/>
        <w:gridCol w:w="60"/>
        <w:gridCol w:w="476"/>
        <w:gridCol w:w="63"/>
      </w:tblGrid>
      <w:tr>
        <w:trPr/>
        <w:tc>
          <w:tcPr>
            <w:tcW w:w="946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283"/>
              <w:jc w:val="left"/>
              <w:rPr>
                <w:b/>
              </w:rPr>
            </w:pPr>
            <w:r>
              <w:rPr>
                <w:b/>
              </w:rPr>
              <w:t>PROSPECTUS SUPPLEMENT</w:t>
            </w:r>
          </w:p>
        </w:tc>
        <w:tc>
          <w:tcPr>
            <w:tcW w:w="142" w:type="dxa"/>
            <w:tcBorders/>
            <w:vAlign w:val="bottom"/>
          </w:tcPr>
          <w:p>
            <w:pPr>
              <w:pStyle w:val="TableContents"/>
              <w:bidi w:val="0"/>
              <w:spacing w:before="0" w:after="283"/>
              <w:jc w:val="left"/>
              <w:rPr/>
            </w:pPr>
            <w:r>
              <w:rPr/>
              <w:t>  </w:t>
            </w:r>
          </w:p>
        </w:tc>
        <w:tc>
          <w:tcPr>
            <w:tcW w:w="53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1">
              <w:r>
                <w:rPr>
                  <w:rStyle w:val="InternetLink"/>
                  <w:rFonts w:ascii="Times New Roman" w:hAnsi="Times New Roman"/>
                  <w:sz w:val="20"/>
                </w:rPr>
                <w:t xml:space="preserve">ABOUT THIS PROSPECTUS SUPPLEMENT </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3">
              <w:r>
                <w:rPr>
                  <w:rStyle w:val="InternetLink"/>
                  <w:rFonts w:ascii="Times New Roman" w:hAnsi="Times New Roman"/>
                  <w:sz w:val="20"/>
                </w:rPr>
                <w:t>PROSPECTUS SUPPLEMENT SUMMARY</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4">
              <w:r>
                <w:rPr>
                  <w:rStyle w:val="InternetLink"/>
                  <w:rFonts w:ascii="Times New Roman" w:hAnsi="Times New Roman"/>
                  <w:sz w:val="20"/>
                </w:rPr>
                <w:t>RISK FACTORS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2">
              <w:r>
                <w:rPr>
                  <w:rStyle w:val="InternetLink"/>
                  <w:rFonts w:ascii="Times New Roman" w:hAnsi="Times New Roman"/>
                  <w:sz w:val="20"/>
                </w:rPr>
                <w:t xml:space="preserve">CAUTIONARY NOTE REGARDING FORWARD -LOOKING STATEMENTS </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5">
              <w:r>
                <w:rPr>
                  <w:rStyle w:val="InternetLink"/>
                  <w:rFonts w:ascii="Times New Roman" w:hAnsi="Times New Roman"/>
                  <w:sz w:val="20"/>
                </w:rPr>
                <w:t>USE OF PROCEEDS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S-13</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6">
              <w:r>
                <w:rPr>
                  <w:rStyle w:val="InternetLink"/>
                  <w:rFonts w:ascii="Times New Roman" w:hAnsi="Times New Roman"/>
                  <w:sz w:val="20"/>
                </w:rPr>
                <w:t>DIVIDEND POLICY</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S-14</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7">
              <w:r>
                <w:rPr>
                  <w:rStyle w:val="InternetLink"/>
                  <w:rFonts w:ascii="Times New Roman" w:hAnsi="Times New Roman"/>
                  <w:sz w:val="20"/>
                </w:rPr>
                <w:t>DILUTION</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S-15</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8">
              <w:r>
                <w:rPr>
                  <w:rStyle w:val="InternetLink"/>
                  <w:rFonts w:ascii="Times New Roman" w:hAnsi="Times New Roman"/>
                  <w:sz w:val="20"/>
                </w:rPr>
                <w:t>MATERIAL U.S. FEDERAL INCOME TAX CONSEQUENCES TO NON-U.S. HOLDERS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S-17</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9">
              <w:r>
                <w:rPr>
                  <w:rStyle w:val="InternetLink"/>
                  <w:rFonts w:ascii="Times New Roman" w:hAnsi="Times New Roman"/>
                  <w:sz w:val="20"/>
                </w:rPr>
                <w:t>LEGAL MATTERS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S-28</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10">
              <w:r>
                <w:rPr>
                  <w:rStyle w:val="InternetLink"/>
                  <w:rFonts w:ascii="Times New Roman" w:hAnsi="Times New Roman"/>
                  <w:sz w:val="20"/>
                </w:rPr>
                <w:t>EXPERTS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S-28</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11">
              <w:r>
                <w:rPr>
                  <w:rStyle w:val="InternetLink"/>
                  <w:rFonts w:ascii="Times New Roman" w:hAnsi="Times New Roman"/>
                  <w:sz w:val="20"/>
                </w:rPr>
                <w:t xml:space="preserve">WHERE YOU CAN FIND MORE INFORMATION </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S-29</w:t>
            </w:r>
          </w:p>
        </w:tc>
        <w:tc>
          <w:tcPr>
            <w:tcW w:w="63" w:type="dxa"/>
            <w:tcBorders/>
            <w:vAlign w:val="bottom"/>
          </w:tcPr>
          <w:p>
            <w:pPr>
              <w:pStyle w:val="TableContents"/>
              <w:bidi w:val="0"/>
              <w:spacing w:before="0" w:after="283"/>
              <w:jc w:val="left"/>
              <w:rPr/>
            </w:pPr>
            <w:r>
              <w:rPr/>
              <w:t> </w:t>
            </w:r>
          </w:p>
        </w:tc>
      </w:tr>
      <w:tr>
        <w:trPr>
          <w:trHeight w:val="120" w:hRule="atLeast"/>
        </w:trPr>
        <w:tc>
          <w:tcPr>
            <w:tcW w:w="9464" w:type="dxa"/>
            <w:tcBorders/>
            <w:vAlign w:val="center"/>
          </w:tcPr>
          <w:p>
            <w:pPr>
              <w:pStyle w:val="TableContents"/>
              <w:bidi w:val="0"/>
              <w:spacing w:before="0" w:after="283"/>
              <w:jc w:val="left"/>
              <w:rPr>
                <w:sz w:val="4"/>
                <w:szCs w:val="4"/>
              </w:rPr>
            </w:pPr>
            <w:r>
              <w:rPr>
                <w:sz w:val="4"/>
                <w:szCs w:val="4"/>
              </w:rPr>
            </w:r>
          </w:p>
        </w:tc>
        <w:tc>
          <w:tcPr>
            <w:tcW w:w="741" w:type="dxa"/>
            <w:gridSpan w:val="4"/>
            <w:tcBorders/>
            <w:vAlign w:val="center"/>
          </w:tcPr>
          <w:p>
            <w:pPr>
              <w:pStyle w:val="TableContents"/>
              <w:bidi w:val="0"/>
              <w:spacing w:before="0" w:after="283"/>
              <w:jc w:val="left"/>
              <w:rPr>
                <w:sz w:val="4"/>
                <w:szCs w:val="4"/>
              </w:rPr>
            </w:pPr>
            <w:r>
              <w:rPr>
                <w:sz w:val="4"/>
                <w:szCs w:val="4"/>
              </w:rPr>
            </w:r>
          </w:p>
        </w:tc>
      </w:tr>
      <w:tr>
        <w:trPr/>
        <w:tc>
          <w:tcPr>
            <w:tcW w:w="9464" w:type="dxa"/>
            <w:tcBorders/>
            <w:vAlign w:val="bottom"/>
          </w:tcPr>
          <w:p>
            <w:pPr>
              <w:pStyle w:val="TableContents"/>
              <w:bidi w:val="0"/>
              <w:spacing w:before="0" w:after="0"/>
              <w:jc w:val="left"/>
              <w:rPr/>
            </w:pPr>
            <w:hyperlink w:anchor="supptoc848543_12">
              <w:r>
                <w:rPr>
                  <w:rStyle w:val="InternetLink"/>
                  <w:rFonts w:ascii="Times New Roman" w:hAnsi="Times New Roman"/>
                  <w:sz w:val="20"/>
                </w:rPr>
                <w:t xml:space="preserve">INCORPORATION BY REFERENCE </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1"/>
        <w:gridCol w:w="348"/>
        <w:gridCol w:w="96"/>
        <w:gridCol w:w="427"/>
        <w:gridCol w:w="63"/>
      </w:tblGrid>
      <w:tr>
        <w:trPr/>
        <w:tc>
          <w:tcPr>
            <w:tcW w:w="9271"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283"/>
              <w:jc w:val="left"/>
              <w:rPr>
                <w:b/>
              </w:rPr>
            </w:pPr>
            <w:r>
              <w:rPr>
                <w:b/>
              </w:rPr>
              <w:t>PROSPECTUS</w:t>
            </w:r>
          </w:p>
        </w:tc>
        <w:tc>
          <w:tcPr>
            <w:tcW w:w="348"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
              <w:r>
                <w:rPr>
                  <w:rStyle w:val="InternetLink"/>
                  <w:rFonts w:ascii="Times New Roman" w:hAnsi="Times New Roman"/>
                  <w:sz w:val="20"/>
                </w:rPr>
                <w:t>ABOUT THIS PROSPECTUS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2">
              <w:r>
                <w:rPr>
                  <w:rStyle w:val="InternetLink"/>
                  <w:rFonts w:ascii="Times New Roman" w:hAnsi="Times New Roman"/>
                  <w:sz w:val="20"/>
                </w:rPr>
                <w:t>RISK FACTORS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3">
              <w:r>
                <w:rPr>
                  <w:rStyle w:val="InternetLink"/>
                  <w:rFonts w:ascii="Times New Roman" w:hAnsi="Times New Roman"/>
                  <w:sz w:val="20"/>
                </w:rPr>
                <w:t>CAUTIONARY NOTE REGARDING FORWARD -LOOKING STATEMENTS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4">
              <w:r>
                <w:rPr>
                  <w:rStyle w:val="InternetLink"/>
                  <w:rFonts w:ascii="Times New Roman" w:hAnsi="Times New Roman"/>
                  <w:sz w:val="20"/>
                </w:rPr>
                <w:t>THE COMPANY</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5">
              <w:r>
                <w:rPr>
                  <w:rStyle w:val="InternetLink"/>
                  <w:rFonts w:ascii="Times New Roman" w:hAnsi="Times New Roman"/>
                  <w:sz w:val="20"/>
                </w:rPr>
                <w:t>USE OF PROCEEDS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6">
              <w:r>
                <w:rPr>
                  <w:rStyle w:val="InternetLink"/>
                  <w:rFonts w:ascii="Times New Roman" w:hAnsi="Times New Roman"/>
                  <w:sz w:val="20"/>
                </w:rPr>
                <w:t xml:space="preserve">SECURITIES WE MAY OFFER </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7">
              <w:r>
                <w:rPr>
                  <w:rStyle w:val="InternetLink"/>
                  <w:rFonts w:ascii="Times New Roman" w:hAnsi="Times New Roman"/>
                  <w:sz w:val="20"/>
                </w:rPr>
                <w:t xml:space="preserve">DESCRIPTION OF CAPITAL STOCK </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8">
              <w:r>
                <w:rPr>
                  <w:rStyle w:val="InternetLink"/>
                  <w:rFonts w:ascii="Times New Roman" w:hAnsi="Times New Roman"/>
                  <w:sz w:val="20"/>
                </w:rPr>
                <w:t xml:space="preserve">DESCRIPTION OF DEBT SECURITIES </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9">
              <w:r>
                <w:rPr>
                  <w:rStyle w:val="InternetLink"/>
                  <w:rFonts w:ascii="Times New Roman" w:hAnsi="Times New Roman"/>
                  <w:sz w:val="20"/>
                </w:rPr>
                <w:t>DESCRIPTION OF WARRANTS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0">
              <w:r>
                <w:rPr>
                  <w:rStyle w:val="InternetLink"/>
                  <w:rFonts w:ascii="Times New Roman" w:hAnsi="Times New Roman"/>
                  <w:sz w:val="20"/>
                </w:rPr>
                <w:t>DESCRIPTION OF UNITS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1">
              <w:r>
                <w:rPr>
                  <w:rStyle w:val="InternetLink"/>
                  <w:rFonts w:ascii="Times New Roman" w:hAnsi="Times New Roman"/>
                  <w:sz w:val="20"/>
                </w:rPr>
                <w:t>PLAN OF DISTRIBUTION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2">
              <w:r>
                <w:rPr>
                  <w:rStyle w:val="InternetLink"/>
                  <w:rFonts w:ascii="Times New Roman" w:hAnsi="Times New Roman"/>
                  <w:sz w:val="20"/>
                </w:rPr>
                <w:t>LEGAL MATTERS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3">
              <w:r>
                <w:rPr>
                  <w:rStyle w:val="InternetLink"/>
                  <w:rFonts w:ascii="Times New Roman" w:hAnsi="Times New Roman"/>
                  <w:sz w:val="20"/>
                </w:rPr>
                <w:t>EXPERTS</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4">
              <w:r>
                <w:rPr>
                  <w:rStyle w:val="InternetLink"/>
                  <w:rFonts w:ascii="Times New Roman" w:hAnsi="Times New Roman"/>
                  <w:sz w:val="20"/>
                </w:rPr>
                <w:t>WHERE YOU CAN FIND MORE INFORMATION</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1" w:type="dxa"/>
            <w:tcBorders/>
            <w:vAlign w:val="center"/>
          </w:tcPr>
          <w:p>
            <w:pPr>
              <w:pStyle w:val="TableContents"/>
              <w:bidi w:val="0"/>
              <w:spacing w:before="0" w:after="283"/>
              <w:jc w:val="left"/>
              <w:rPr>
                <w:sz w:val="4"/>
                <w:szCs w:val="4"/>
              </w:rPr>
            </w:pPr>
            <w:r>
              <w:rPr>
                <w:sz w:val="4"/>
                <w:szCs w:val="4"/>
              </w:rPr>
            </w:r>
          </w:p>
        </w:tc>
        <w:tc>
          <w:tcPr>
            <w:tcW w:w="934" w:type="dxa"/>
            <w:gridSpan w:val="4"/>
            <w:tcBorders/>
            <w:vAlign w:val="center"/>
          </w:tcPr>
          <w:p>
            <w:pPr>
              <w:pStyle w:val="TableContents"/>
              <w:bidi w:val="0"/>
              <w:spacing w:before="0" w:after="283"/>
              <w:jc w:val="left"/>
              <w:rPr>
                <w:sz w:val="4"/>
                <w:szCs w:val="4"/>
              </w:rPr>
            </w:pPr>
            <w:r>
              <w:rPr>
                <w:sz w:val="4"/>
                <w:szCs w:val="4"/>
              </w:rPr>
            </w:r>
          </w:p>
        </w:tc>
      </w:tr>
      <w:tr>
        <w:trPr/>
        <w:tc>
          <w:tcPr>
            <w:tcW w:w="9271" w:type="dxa"/>
            <w:tcBorders/>
            <w:vAlign w:val="bottom"/>
          </w:tcPr>
          <w:p>
            <w:pPr>
              <w:pStyle w:val="TableContents"/>
              <w:bidi w:val="0"/>
              <w:spacing w:before="0" w:after="0"/>
              <w:jc w:val="left"/>
              <w:rPr/>
            </w:pPr>
            <w:hyperlink w:anchor="toc848543_15">
              <w:r>
                <w:rPr>
                  <w:rStyle w:val="InternetLink"/>
                  <w:rFonts w:ascii="Times New Roman" w:hAnsi="Times New Roman"/>
                  <w:sz w:val="20"/>
                </w:rPr>
                <w:t>INCORPORATION BY REFERENCE</w:t>
              </w:r>
            </w:hyperlink>
          </w:p>
        </w:tc>
        <w:tc>
          <w:tcPr>
            <w:tcW w:w="34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84854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also adds to and updates information contained in the accompanying prospectus and the documents incorporated by reference into this prospectus supplement and the accompanying prospectus. The second part is the accompanying prospectus dated November 24, 2023, included in our registration statement on Form S-3ASR (File No. 333-275740), along with the documents incorporated by reference, which provides more general information, some of which may not apply to this offering. Generally, when we refer to this prospectus, we are referring to both parts of this document combined.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the accompanying prospectus or in any document incorporated by reference that was filed with the Securities and Exchange Commission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“shelf” registration statement that we filed with the SEC. Under the shelf registration process, we may offer from time to time various securities, of which this offering of shares of our common stock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the exhibits filed with the SEC,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prospectus, along with the information contained in any free writing prospectus that we have authorized for use in connection with this offering. We have not, and Jefferies has not, authorized anyone to provide you with different or additional information. If anyone provides you with different or inconsistent information, you should not rely on it. We and Jefferies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respective dates of those documents,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“Intellia,” “we,” “our,” “us” and the “Company” in this prospectus, we mean Intellia Therapeutics, Inc. and, where appropriate, our subsidiary, unless otherwise specified. When we refer to “you,” we mean the holders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848543_3"/>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our financial statements and related notes and the other information incorporated by reference into this prospectus supplement and the accompanying prospectus, and the information included in any free writing prospectus that we have authorized for use in connection with this offering, including the information referred to under the heading “Risk Factors” in this prospectus supplement beginning on page S-7 and in the documents incorporated herein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biopharmaceutical company focused on revolutionizing medicine leveraging CRISPR gene editing and other core technologies. Our mission is to transform the lives of people with severe diseases by developing and commercializing potentially curative treatments. With deep scientific, technical and clinical development experience, we aim to reset the standard for medicine by durably treating the root causes of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over a decade, we have applied our proprietary technologies and expertise, including CRISPR-based gene editing technologies, oligonucleotides, and lipid nanoparticles (“LNPs”), to develop novel, first-in-class product candidates. This includes the development of lonvoguran ziclumeran (“lonvo-z,” also referred to as NTLA-2002) for the treatment of hereditary angioedema (“HAE”) and nexiguran ziclumeran (“nex-z,” also referred to as NTLA-2001) for the treatment of transthyretin (“ATTR”) amyloidosis. These lead product candidates are the first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genome editing product candidates into Phase 3 development. These systemically administered CRISPR-based candidates are designed to address diseases with high unmet need with a single intravenous (“IV”) infusion that is administered in an outpatient setting. Lonvo-z and nex-z are currently in Phase 3 clinical development, and we are preparing for the planned commercial launch of lonvo-z in the first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order to treat—and potentially cure—a broader range of severe diseases, we and our collaboration partners are advancing the development of additional clinical and preclinical product candidates. Throughout our history, we have leveraged collaborations to expand and accelerate the development of product candidates. Our current relationships include our collaboration with Regeneron Pharmaceuticals, Inc. (“Regeneron”) and other research collaborations focused on the development of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strategy is to (1) advance the clinical development of our lead CRISPR-based product candidates, (2) build and leverage a fully integrated commercial-stage infrastructure, (3) expand our pipeline utilizing our expertise and proprietary technologies, and (4) collaborate with partners to expand our technology reach and maximize our return on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Advance the clinical development of our lead CRISPR-based product candidates.</w:t>
      </w:r>
      <w:r>
        <w:rPr>
          <w:rFonts w:ascii="Times New Roman" w:hAnsi="Times New Roman"/>
          <w:sz w:val="20"/>
          <w:bdr w:val="single" w:sz="8" w:space="1" w:color="000000"/>
        </w:rPr>
        <w:t xml:space="preserve"> We are focused on successfully completing late-stage clinical development of our lead product candidates, lonvo-z for the treatment of patients with HAE and nex-z for the treatment of patients with ATTR amyloidosis with cardiomyopathy (“ATTR-CM”) and hereditary ATTR amyloidosis with polyneuropathy (“ATTRv-PN”). As the only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genome editing product candidates in Phase 3 clinical development, lonvo-z and nex-z are positioned at the forefront of a new wave of medicine that aims to treat the underlying root cause of disease, rather than its symptoms. These Phase 3 clinical trials are intended to enable us to secure regulatory approvals and marketing authorizations for commercialization that would deliver on our initial promise to benefit patients, the healthcare system and other stakeholders.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Build and leverage a fully integrated commercial-stage infrastructure.</w:t>
      </w:r>
      <w:r>
        <w:rPr>
          <w:rFonts w:ascii="Times New Roman" w:hAnsi="Times New Roman"/>
          <w:sz w:val="20"/>
          <w:bdr w:val="single" w:sz="8" w:space="1" w:color="000000"/>
        </w:rPr>
        <w:t xml:space="preserve"> While successfully completing our late-stage clinical trials is a critical step toward realizing the potential value of our product candidates, we are building a fully-integrated infrastructure that includes a United States (“U.S.”)-focused commercial and medical affairs field force to enhance our return on the investment we have made in the development of lonvo-z, nex-z and earlier-stage product candidates. Historically, we have focused heavily on building capabilities that are essential for a successful clinical-stage organization. To prepare for a potential positive Phase 3 readout, Biologics License Application (“BLA”) filing and successful commercial launch for lonvo-z, we have been enhancing our organization with senior leaders who are undertaking pre-commercial activities, and we have plans to scale this team to enable a successful launch, if approved. Ultimately, we aim to become a self-sustaining biopharmaceutical company with capabilities from drug discovery through commercialization. Our goal is to create value across many stakeholders—patients, prescribers, payers, shareholders and employees—by leveraging our internal infrastructure and external collaborations.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Expand our pipeline utilizing our expertise and proprietary technologies.</w:t>
      </w:r>
      <w:r>
        <w:rPr>
          <w:rFonts w:ascii="Times New Roman" w:hAnsi="Times New Roman"/>
          <w:sz w:val="20"/>
          <w:bdr w:val="single" w:sz="8" w:space="1" w:color="000000"/>
        </w:rPr>
        <w:t xml:space="preserve"> We are committed to addressing a range of unmet medical needs through the development of novel therapeutic candidates utilizing CRISPR gene editing and other core technologies. These efforts have yielded our current late-stage product candidates, lonvo-z and nex-z, and a range of earlier-stage programs that we are developing independently and in collaboration with our partners. We aim to remain a pioneer in the field by developing additional product candidates that leverage our proprietary technologies acquired or developed over a decade-plus of research and development, including multi-modal CRISPR gene editing, LNP, and oligonucleotide technologies.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Collaborate with partners to expand the reach of our technology and maximize our return on investment.</w:t>
      </w:r>
      <w:r>
        <w:rPr>
          <w:rFonts w:ascii="Times New Roman" w:hAnsi="Times New Roman"/>
          <w:sz w:val="20"/>
          <w:bdr w:val="single" w:sz="8" w:space="1" w:color="000000"/>
        </w:rPr>
        <w:t xml:space="preserve"> Since our inception, collaborations have been an important part of our strategy. These relationships enable us to augment our scientific expertise, extend the reach of our technology and provide the potential for us to address the unmet needs of additional patients. Collaborations can also enable us to generate greater returns on the significant investments that we have made in our core technologies and product candidates through the form of upfront payments, milestones, royalties, and/or cost-sharing arrangements. We believe that collaborations may play a critical role in expanding the commercial potential of our product candidates in markets outside of the U.S., powering the development and deployment of our technology, and maximizing the return of our investment to benefit our stakeholders, including patients, healthcare systems, and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not profitable and have incurred losses in each period since our inception. Our net loss was $412.7 million for the year ended December 31, 2025, and $95.8 million for the three months ended December 31, 2025. As of December 31, 2025, we had an accumulated deficit of $2,590.1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As of December 31, 2025, we had $605.1 million of cash, cash equivalents and marketable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May 2014 under the name AZRN, Inc. Our principal executive offices are located at 40 Erie Street, Suite 130, Cambridge, Massachusetts 02139. Our telephone number is (857) 285-6200, and our website is located at www.intelliatx.com. No portion of our website is incorporated by reference into this prospectus supplement. We do not incorporate the information on or accessible through our website into this prospectus supplement, and you should not consider any information on, or that can be accessed through, our website as part of this prospectus supplement. Our common stock trades on the Nasdaq Global Market under the symbol “NTLA”.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use various trademarks and trade names in our business, including without limitation our corporate name and logo. All other trademarks or trade names referred to in this prospectus supplement are the property of their respective owners. Solely for convenience, the trademarks and trade names in this prospectus supplement may be referred to without the ® and TM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$400,000,000.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Up to 28,011,204 shares (as more fully described in the notes following this table), assuming sales of 28,011,204 shares of our common stock in this offering at an offering price of $14.28 per share, which was the last reported sale price of our common stock on the Nasdaq Global Market on February 26,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Manner of offering </w:t>
            </w:r>
          </w:p>
        </w:tc>
        <w:tc>
          <w:tcPr>
            <w:tcW w:w="6330" w:type="dxa"/>
            <w:tcBorders/>
          </w:tcPr>
          <w:p>
            <w:pPr>
              <w:pStyle w:val="TableContents"/>
              <w:bidi w:val="0"/>
              <w:spacing w:before="0" w:after="283"/>
              <w:jc w:val="left"/>
              <w:rPr/>
            </w:pPr>
            <w:r>
              <w:rPr/>
              <w:t>“</w:t>
            </w:r>
            <w:r>
              <w:rPr/>
              <w:t xml:space="preserve">At the market offering” that may be made from time to time on the Nasdaq Global Market or other existing trading market for our common stock through our sales agent, Jefferies LLC, or Jefferies. See “Plan of Distribution” on page S-23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9" w:type="dxa"/>
            <w:tcBorders/>
          </w:tcPr>
          <w:p>
            <w:pPr>
              <w:pStyle w:val="TableContents"/>
              <w:bidi w:val="0"/>
              <w:spacing w:before="0" w:after="283"/>
              <w:jc w:val="left"/>
              <w:rPr/>
            </w:pPr>
            <w:r>
              <w:rPr/>
              <w:t xml:space="preserve">Our management will retain broad discretion regarding the allocation and use of the net proceeds. We currently intend to use the net proceeds from this offering, together with our existing cash and cash equivalents, to fund research and clinical development of current or additional pipeline candidates, working capital, capital expenditures, and general corporate purposes.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Investing in our common stock involves a high degree of risk. See “Risk Factors” beginning on page S-7 of this prospectus supplement, as well as “Risk Factors” in the documents incorporated by reference into this prospectus supplement, for a discussion of factors you should consider carefully before deciding to purchase any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Market symbol </w:t>
            </w:r>
          </w:p>
        </w:tc>
        <w:tc>
          <w:tcPr>
            <w:tcW w:w="6327" w:type="dxa"/>
            <w:tcBorders/>
          </w:tcPr>
          <w:p>
            <w:pPr>
              <w:pStyle w:val="TableContents"/>
              <w:bidi w:val="0"/>
              <w:spacing w:before="0" w:after="283"/>
              <w:jc w:val="left"/>
              <w:rPr/>
            </w:pPr>
            <w:r>
              <w:rPr/>
              <w:t xml:space="preserve">NTLA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immediately after this offering is based on 116,317,060 shares of our common stock outstanding as of December 31, 2025. The number of shares outstanding as of December 31, 2025,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5,173,766 shares of common stock issuable upon the exercise of stock options outstanding as of December 31, 2025, at a weighted average exercise price of $39.98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4,281,893 shares of unvested restricted stock granted under our 2015 Amended and Restated Stock Option and Incentive Plan (“2015 Plan”) as of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516,228 shares of unvested restricted stock granted under our 2024 Inducement Plan, as amended (“Inducement Plan”) as of December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398,000 shares of unvested restricted stock granted under our 2025 Incentive Equity Plan (“2025 Plan”) as of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5,196,121 shares of restricted stock outstanding as of December 31, 2025, at a weighted average grant date price of $22.80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320,800 shares of common stock sold since December 31, 2025 under our existing “at the market” equity offering program with Jefferies LLC;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13,875,230 shares of common stock reserved for future issuance under our 2016 Employee Stock Purchase Plan (“2016 ESPP”), our Inducement Plan, and our 2025 Plan as of December 31, 2025, as well as shares of common stock added to the 2016 ESPP on January 1, 2026 pursuant to the provisions of the 2016 ESPP that automatically increase the common share reserves under such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that any of these options are exercised, new options are issued under our equity incentive plans and subsequently exercised, or we issue additional shares of common stock in the future, there will be further dilution to the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848543_4"/>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 factors described below and the risk factors incorporated by reference to our most recent Annual Report on Form 10-K and any subsequent Quarterly Reports on Form 10-Q or Current Reports on Form 8-K we file after the date of this prospectus supplement, and all other information contained or incorporated by reference into this prospectus supplement and the accompanying prospectus, including our financial statements and the related notes, as updated by our subsequent filings under the Securities Exchange Act of 1934, as amended (the “Exchange Act”) and in any free writing prospectus that we have authorized for use in connection with this offering before acquiring any of our common stock. These risks could have a material and adverse impact on our business, results of operations, financial condition and growth prospects, which may cause the trading price of our common stock to decline, and you could lose all or part of your investment. The risks discussed below also include forward-looking statements and our actual results may differ substantially from those discussed in these forward-looking statements. See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Risks Associated with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United States Food and Drug Administration (“FDA”) recently lifted the clinical holds it had placed on our investigational new drug (“IND”) applications for the MAGNITUDE and MAGNITUDE-2 Phase 3 clinical trials for patients with transthyretin (“ATTR”) amyloidosis. We are engaging with clinical trial investigators, ethics committees, international regulatory authorities and other stakeholders to resume enrollment activities in MAGNITUDE and MAGNITUDE-2. Our business may be adversely affected if we are not able to resume enrollment activities in a timely manner or at all, or if other regulatory or patient safety concerns lead to additional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CRISPR genome editing technology has only recently been clinically validated for human therapeutic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approaches we are taking to discover and develop novel therapeutics using CRISPR systems are unproven and may never lead to marketable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viable product candidates, achieve regulatory approval for any such product candidate or market and sell any resulting product, we may never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involves a lengthy and expensive process, with an uncertain outcome. We may incur additional costs or experience delays in completing, or ultimately be unable to complete, the development and commercialization of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the positive results from any of our preclinical or clinical activities and studies, we may be unable to successfully develop, obtain regulatory approval for and commercialize any potential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public opinion and increased regulatory scrutiny of CRISPR use, genome editing or gene therapy may damage public perception of the safety of our product candidates and adversely affect our ability to conduct our business or obtain regulatory approvals for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we obtain regulatory approval of any product candidates, such candidates may not gain market acceptance among physicians, patients, hospitals, third 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be unsuccessful in obtaining or maintaining adequate patent protection for one or more of our products or product candidates or asserting and defending our intellectual property rights that protect our products and technologies.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licensed intellectual property from third parties for use in our programs, and termination or modification of any of these licenses could result in the loss of those intellectual property rights, which could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never generated any revenue from product sales and our ability to generate revenue from product sales and become profitable depends significantly on our success in a number of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net losses in each period since our inception, anticipate that we will continue to incur net losses in the future and may never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 vivo</w:t>
            </w:r>
            <w:r>
              <w:rPr>
                <w:rFonts w:ascii="Times New Roman" w:hAnsi="Times New Roman"/>
                <w:sz w:val="20"/>
              </w:rPr>
              <w:t xml:space="preserve"> genome editing products and </w:t>
            </w:r>
            <w:r>
              <w:rPr>
                <w:rFonts w:ascii="Times New Roman" w:hAnsi="Times New Roman"/>
                <w:i/>
                <w:sz w:val="20"/>
              </w:rPr>
              <w:t>ex vivo</w:t>
            </w:r>
            <w:r>
              <w:rPr>
                <w:rFonts w:ascii="Times New Roman" w:hAnsi="Times New Roman"/>
                <w:sz w:val="20"/>
              </w:rPr>
              <w:t xml:space="preserve"> engineered cell therapies based on CRISPR genome editing technology are novel, complex and difficult to manufacture.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experience manufacturing problems that result in delays in the development, approval or commercialization of our product candidates or otherwise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technological advancements and any potential for revenue may be derived in part from our collaborations, including, for example, with Regeneron Pharmaceuticals, Inc. (“Regeneron”), and if the collaboration or co-development agreements related to a material collaboration were to be terminated or materially altered in an adverse manner, our business, financial condition, results of operations and prospects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internal computer systems, or those of our collaborators or other contractors or consultants, may fail or suffer security breaches or compromises, which could result in a material disruption of our operations and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our common stock historically has been volatile, which may affect the price at which you could sell any shares of our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price of our common stock historically has been volatile, which may affect the price at which you could sell any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historically has been highly volatile and could continue to be subject to wide fluctuations in response to various factors. During the twelve-month period ended on February 26, 2026, the market price for our common stock has varied between a high price of $28.25 on October 20, 2025 and a low price of $5.90 on April 7, 2025.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or competing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issued patents, patent applications or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develop, manufacture, acquire or in-license our current and additional product candidates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financial results or the financial results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in the market that the holders of a large number of shares intend to sell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perception of the safety of genome editing based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summarized and described in this </w:t>
            </w:r>
            <w:r>
              <w:rPr>
                <w:rFonts w:ascii="Times New Roman" w:hAnsi="Times New Roman"/>
                <w:i/>
                <w:sz w:val="20"/>
              </w:rPr>
              <w:t>Risk Factors</w:t>
            </w:r>
            <w:r>
              <w:rPr>
                <w:rFonts w:ascii="Times New Roman" w:hAnsi="Times New Roman"/>
                <w:sz w:val="20"/>
              </w:rPr>
              <w:t xml:space="preserve">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Companies trading in the stock market in general, and in the Nasdaq Global Market in particular, have also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have broad discretion in the use of proceeds from this offering as well as our cash, cash equivalents and marketable securities and may invest or spend the proceeds in ways with which you do not agree or in ways that ultimately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entitled “Use of Proceeds,” as well as our existing cash, cash equivalents and marketable securities, and you will be relying on the judgment of our management regarding such application. You will not have the opportunity, as part of your investment decision, to assess whether the proceeds from this offering and our existing cash, cash equivalents or marketable securities are being used effectively. Our management might not apply the net proceeds or our existing cash, cash equivalents or marketable securities in ways that ultimately increase the value of your investment. If we do not invest or apply the net proceeds from this offering or our existing cash, cash equivalents or marketable securities in ways that enhance stockholder value, we may fail to achieve expected financial results, which could cause our stock price to decline. Pending their use, we may invest the net proceeds from this offering in short-term, investment-grade, interest-bearing securities and U.S. government securities.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may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shares of common stock in this offering may pay a price per share that substantially exceeds the pro forma book value per share of our tangible assets after subtracting our liabilities as of December 31, 2025. As a result, if we were to sell all of the shares of common stock offered in this offering at an assumed public offering price of $14.28 per share, which was the last reported sale price of our common stock on the Nasdaq Global Market on February 26, 2026, investors purchasing shares of common stock in this offering would incur immediate dilution of $6.91 per share. For information on how the foregoing amounts were calculated, see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dilution would be due to the substantially lower price paid by our investors who purchased shares prior to this offering as compared to the price offered to investors in this offering. To the extent outstanding options are exercised, you will incur further dilution. As a result of the dilution to investors purchasing shares in this offering, investors may receive significantly less than the purchase price paid in this offering, if anything, in the event of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2023, we filed a Registration Statement on Form S-3ASR (the “Universal Shelf”) with the SEC, which automatically became effective upon filing (File No. 333-275740) in relation to the registration of common stock, preferred stock, debt securities, warrants and units of any combination thereof.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Sales by our stockholders of a substantial number of shares, or the expectation that such sales may occur, could significantly reduce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848543_2"/>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and any free writing prospectus that we have authorized for use in connection with this offering, contain forward-looking statements. All statements other than statements of historical facts contained in this prospectus supplement, the accompanying prospectus and the documents incorporated by reference herein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supplement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clinical study strategy for lonvoguran ziclumeran (“lonvo-z,” also referred to as NTLA-2002), our program for the treatment of hereditary angioedema (“HAE”), including the ability to successfully complete our global HAELO Phase 3 study, generate results supporting the potential of lonvo-z to achieve lifelong control of HAE attacks after a one-time treatment, report topline data from the HAELO Phase 3 trial by mid-2026, the ability to file a biologics license application (“BLA”) or comparable marketing application in the second half of 2026 and potentially launch lonvo-z in the U.S. in the first half of 2027, or the success of such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clinical study strategy for nexiguran ziclumeran (“nex-z,” also referred to as NTLA-2001), our program for the treatment of transthyretin (“ATTR”) amyloidosis, including the ability to resume dosing and screening in the MAGNITUDE Phase 3 clinical trial and the MAGNITUDE-2 Phase 3 trial following the removal of the prior clinical holds, and the ability to successfully complete this study, or the success of such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or obtain materials for our preclinical and clinical studies,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any product candidates into, and successfully complete, clinical studies, including clinical studies necessary for regulatory approval and commercialization, and to demonstrate to applicable regulators that the product candidates are safe and effective and that their benefits outweigh known and potential risks for the intended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our genome editing and therapeutic delivery capabilities, including our therapeutic delivery capabilities for tissues other than the liver;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develop, establish and maintain for intellectual property rights, including patents, trade secrets and license rights, covering our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including commercializing products, without infringing or breaching the proprietary or contractual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enforcement of, and compliance with, regulatory requirements and guidance regarding preclinical and clinical studies relevant to genome editing and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acceptance,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expenses, future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agreements, such as collaborations, co-development and co-commercialization, acquisitions, dispositions, mergers, joint ventures, and investment agreements, and our ability to establish and maintain strategic arrangements under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and maintain relevant intellectual property licenses and rights, and the scope and terms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a modular platform capability or other strategies to efficiently discover and develop product candidates, including by applying learnings from one program to other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develop or maintain a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licensors, licensees, third parties and ventures from which we derive or license rights, as well as collaborators, competitors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supplement, the accompanying prospectus and the documents incorporated by reference herein and therein.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supplement, the accompanying prospectus, the documents incorporated by reference herein and therein and the documents that we reference in this prospectus supplement and have filed with the SEC as exhibits to the registration statement, of which this prospectus supplement is a part, completely and with the understanding that our actual future results may be materially different from any future results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supplement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supplement, and we believe these industry publications and third-party research, surveys and studies are reliable.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84854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$400.0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potential proceeds from this offering, together with our existing cash and cash equivalents, to fund research and clinical development of current or additional pipeline candidates, working capital, capital expenditures and general corporate purposes. 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848543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intend to retain all of our future earnings, if any, to finance the growth and development of our business. We do not intend to pay cash dividends to our stockholders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848543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The net tangible book value of our common stock as of December 31, 2025, was approximately $671.4 million, or approximately $5.77 per share of common stock based upon 116,317,060 shares outstanding. Net tangible book value per share is equal to our total tangible assets, less our total liabilities, divided by the total number of shares of common stock outstanding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 After giving effect to the issuance and sale by us of 28,011,204 shares of our common stock at an assumed public offering price of $14.28 per share, which was the last reported sale price of our common stock on the Nasdaq Global Market on February 26, 2026, and after deducting the fees and commissions and estimated offering expenses payable by us, our as adjusted net tangible book value as of December 31, 2025, would have been $1,063.4 million, or $7.37 per share of our common stock. This represents an immediate increase in net tangible book value of $1.60 per share to our existing stockholders and an immediate dilution in as adjusted net tangible book value of $6.91 per share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17"/>
        <w:gridCol w:w="392"/>
        <w:gridCol w:w="144"/>
        <w:gridCol w:w="447"/>
        <w:gridCol w:w="60"/>
        <w:gridCol w:w="392"/>
        <w:gridCol w:w="144"/>
        <w:gridCol w:w="578"/>
        <w:gridCol w:w="65"/>
      </w:tblGrid>
      <w:tr>
        <w:trPr/>
        <w:tc>
          <w:tcPr>
            <w:tcW w:w="4717"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14.28</w:t>
            </w:r>
          </w:p>
        </w:tc>
        <w:tc>
          <w:tcPr>
            <w:tcW w:w="65" w:type="dxa"/>
            <w:tcBorders/>
            <w:shd w:fill="CCEEFF" w:val="clear"/>
            <w:vAlign w:val="bottom"/>
          </w:tcPr>
          <w:p>
            <w:pPr>
              <w:pStyle w:val="TableContents"/>
              <w:bidi w:val="0"/>
              <w:spacing w:before="0" w:after="283"/>
              <w:jc w:val="left"/>
              <w:rPr/>
            </w:pPr>
            <w:r>
              <w:rPr/>
              <w:t> </w:t>
            </w:r>
          </w:p>
        </w:tc>
      </w:tr>
      <w:tr>
        <w:trPr/>
        <w:tc>
          <w:tcPr>
            <w:tcW w:w="4717"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December 31, 2025</w:t>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5.77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1.60</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17"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17"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7.37</w:t>
            </w:r>
          </w:p>
        </w:tc>
        <w:tc>
          <w:tcPr>
            <w:tcW w:w="65" w:type="dxa"/>
            <w:tcBorders/>
            <w:vAlign w:val="bottom"/>
          </w:tcPr>
          <w:p>
            <w:pPr>
              <w:pStyle w:val="TableContents"/>
              <w:bidi w:val="0"/>
              <w:spacing w:before="0" w:after="283"/>
              <w:jc w:val="left"/>
              <w:rPr/>
            </w:pPr>
            <w:r>
              <w:rPr/>
              <w:t> </w:t>
            </w:r>
          </w:p>
        </w:tc>
      </w:tr>
      <w:tr>
        <w:trPr/>
        <w:tc>
          <w:tcPr>
            <w:tcW w:w="47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new investors in this offering</w:t>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6.91</w:t>
            </w:r>
          </w:p>
        </w:tc>
        <w:tc>
          <w:tcPr>
            <w:tcW w:w="65" w:type="dxa"/>
            <w:tcBorders/>
            <w:shd w:fill="CCEEFF" w:val="clear"/>
            <w:vAlign w:val="bottom"/>
          </w:tcPr>
          <w:p>
            <w:pPr>
              <w:pStyle w:val="TableContents"/>
              <w:bidi w:val="0"/>
              <w:spacing w:before="0" w:after="283"/>
              <w:jc w:val="left"/>
              <w:rPr/>
            </w:pPr>
            <w:r>
              <w:rPr/>
              <w:t> </w:t>
            </w:r>
          </w:p>
        </w:tc>
      </w:tr>
      <w:tr>
        <w:trPr/>
        <w:tc>
          <w:tcPr>
            <w:tcW w:w="4717"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approximately $400.0 million in shares of our common stock are sold at a price of $14.28 per share, the last reported sale price of our common stock on the Nasdaq Global Market on February 26, 2026. The shares sold in this offering, if any, will be sold from time to time at various prices. An increase of $1.00 per share in the price at which the shares are sold from the assumed offering price of $14.28 per share shown in the table above, assuming all of our common stock in the aggregate amount of approximately $400.0 million is sold at that price, would increase our as adjusted net tangible book value per share after the offering to $7.46 per share and would increase the dilution in net tangible book value per share to investors participating in this offering to $7.82, after deducting fees and commissions and estimated aggregate offering expenses payable by us. A decrease of $1.00 per share in the price at which shares are sold from the assumed offering price of $14.28 per share in the table above, assuming all of our common stock in the aggregate amount of approximately $400.0 million is sold at that price, would decrease our as adjusted net tangible book value per share after the offering to $7.26 per share and would decrease the dilution in net tangible book value per share to investors participating in this offering to $6.02 per share, after deducting fees and commissions and estimated aggregate offering expenses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our common stock to be outstanding immediately after this offering is based on 116,317,060 shares of our common stock outstanding as of December 31, 2025. The number of shares outstanding as of December 31, 2025,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5,173,766 shares of common stock issuable upon the exercise of stock options outstanding as of December 31, 2025, at a weighted average exercise price of $39.98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4,281,893 shares of unvested restricted stock granted under our 2015 Plan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516,228 shares of unvested restricted stock granted under our Inducement Plan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398,000 shares of unvested restricted stock granted under our 2025 Plan as of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5,196,121 shares of restricted stock outstanding as of December 31, 2025, at a weighted average grant date price of $22.80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320,800 shares of common stock sold since December 31, 2025 under our existing “at the market” equity offering program with Jefferies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13,875,230 shares of common stock reserved for future issuance under our 2016 ESPP, our Inducement Plan, and our 2025 Plan as of December 31, 2025, as well as shares of common stock added to the 2016 ESPP on January 1, 2026 pursuant to the provisions of the 2016 ESPP that automatically increase the common share reserves under such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options are exercised, new options are issued under our equity incentive plans, or we otherwise issue additional shares of common stock in the future at a price less than the public offering price, there may be further dilution to new investors purchasing common stock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848543_8"/>
      <w:bookmarkEnd w:id="10"/>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any other foreign organization taxable as a corporation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estate or trust, the income of which is not subject to U.S. federal income tax on a net income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that are pass-through entities for U.S. federal income tax purposes or persons that hold their common stock through partnerships or other pass-through entities. If an entity treated as a partnership for U.S. federal income tax purposes holds our common stock, the tax treatment of a partner in the partnership will generally depend on the status of the partner, the activities of the partnership and certain determinations made at the partner level.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(the “Code”), existing and proposed U.S. Treasury Regulations promulgated thereunder,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non-U.S. holders described in this prospectus supplement. There can be no assurance that the Internal Revenue Service (the “IRS”) will not challenge one or more of the tax consequences described. We assume in this discussion that each non-U.S. holder holds shares of our common stock as a capital asset within the meaning of Section 1221 of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non-U.S. holder in light of that non-U.S. holder’s individual circumstances nor does it address U.S. state, local or non-U.S. taxes, the alternative minimum tax, the Medicare tax on net investment income, the rules regarding qualified small business stock within the meaning of Section 1202 of the Code or any aspect of any tax treaties or any U.S. federal tax other than the income tax.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partners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 only and is not tax advice. Accordingly, all prospective non-U.S. holders of our common stock should consult their own tax advisors with respect to the U.S. federal, state, local and non-U.S. tax consequences of the ownership and disposition of our common stock, including the consequences of any proposed changes in applicable laws.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“Dividend Policy” section above, we do not intend to pay cash dividends to our stockholders in the foreseeable future. Distributions, if any, on our common stock will generally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potential withholding described below in the sections titled “Backup Withholding and Information Reporting” and “FATCA.”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in the following two paragraphs in this section, dividends paid to a non-U.S. holder generally will be subject to withholding of U.S. federal income tax at a 30% rate or such lower rate as may be specified by an applicable income tax treaty between the U.S. and such holder’s country of residence. If we are unable to determine, at a time reasonably close to the date of payment of a distribution on our common stock, what portion, if any, of the distribution will constitute a dividend, then we may withhold U.S. federal income tax based on the assumption that the full amount of the distribution will be a dividend. If we or another withholding agent apply over-withholding, a non-U.S. holder may be entitled to a refund of any excess tax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U.S. and, if an applicable income tax treaty so provides, that are attributable to a permanent establishment or a fixed base maintained by the non-U.S. holder within the U.S., are generally exempt from the 30% withholding tax if the non-U.S. holder satisfies applicable certification and disclosure requirements. To obtain this exemption, a non-U.S. holder must generally provide us with a properly executed IRS Form W-8ECI properly certifying such exemption. However, such U.S. effectively connected income, net of specified deductions and credits, is generally taxed at the regular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U.S. and such holder’s country of residence.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non-U.S. holder of our common stock who claims the benefit of an applicable income tax treaty between the U.S. and such holder’s country of residence generally will be required to provide a properly executed IRS Form W-8BEN or W-8BEN-E (or other applicable successor form) to the applicable withholding agent and satisfy any other applicable requirements. Any documentation provided to an applicable withholding agent may need to be updated in certain circumstances. The certification requirements described above may require a non-U.S. holder to provide its U.S. taxpayer identification number. Non-U.S. holders are urged to consult their own tax advisors regarding their entitlement to benefits under a relevant income tax treaty. A non-U.S. holder that is eligible for a reduced rate of U.S. withholding tax under an income tax treaty may obtain a refund of any excess amounts withheld by timely filing an appropriate claim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or Other Taxable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a non-U.S. holder will not be subject to any U.S. federal income or withholding tax on any gain realized upon such holder’s sale or other taxable disposition of shares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U.S. trade or business and, if an applicable income tax treaty so provides, is attributable to a permanent establishment or a fixed base maintained by such non-U.S. holder in the U.S., in which case the non-U.S. holder generally will be taxed on a net income basis at the regular U.S. federal income tax rates applicable to “United States persons” and, if the non-U.S. holder is a foreign corporation, the branch profits tax described above in “Distributions on Our Common Stock”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U.S. for a period or periods 183 days or more in the taxable year of the disposition and certain other conditions are met, in which case the non-U.S. holder will be subject to a 30% tax (or such lower rate as may be specified by an applicable income tax treaty between the U.S. and such holder’s country of residence) on the net gain derived from the disposition, which may be offset by certain U.S. source capital losses of the non-U.S. holder, if any (even though the individual is not considered a resident of the U.S.), provided that the non-U.S. holder has timely filed U.S. federal income tax returns with respect to such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sale or other taxable disposition (or the non-U.S. holder’s holding period, if shorter) a “U.S. real property holding corporation” (as defined in the Code), unless our common stock is regularly traded on an established securities market at the time of the disposition and the non-U.S. holder holds no more than 5% of our outstanding common stock, directly or indirectly, actually or constructively, during the shorter of the five-year period ending on the date of the disposition or the period that the non-U.S. holder held our common stock. If we are or were a U.S. real property holding corporation during the relevant period and the foregoing exception does not apply, the non-U.S. holder generally will be taxed on its net gain derived from the disposition at the regular U.S. federal income tax rates applicable to “United States persons,” except that the branch profits tax generally will not apply. Generally, a corporation is a U.S. real property holding corporation only if the fair market value of its “U.S. real property interests” (as defined in the Code)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Non-U.S. holders should consult their tax advisors with respect to the application of the foregoing rules to their ownership and disposition of our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We (or the applicable paying agent) must report annually to the IRS and to each non-U.S. holder the gross amount of the distributions on our common stock paid to such holder and the tax withheld, if any,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distributions. Non-U.S. holders may have to comply with specific certification procedures to establish that the holder is not a “United States person” in order to avoid backup withholding at the applicable rate with respect to dividends on our common stock. Dividends paid to a non-U.S. holder generally will be exempt from U.S. backup withholding if the non-U.S. holder establishes an exemption by properly certifying its non-U.S. status on an IRS Form W-8BEN or W-8BEN-E (or other applicable or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Code commonly referred to as the Foreign Account Tax Compliance Act (“FATCA”) generally impose a U.S. federal withholding tax at a rate of 30% on payments of dividends on our common stock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the tax. An intergovernmental agreement between the U.S. and an applicable foreign country may modify the requirements described in this paragraph. Non-U.S. holders should consult their own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and preferred stock summarizes the material terms and provisions of the common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240,000,000 shares of common stock, par value $0.0001 per share, and 5,000,000 shares of preferred stock, par value $0.0001 per share, all of which are undesignated preferred stock. As of February 26, 2026, we had 118,133,546 shares of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common stock under this prospectus, the shares will fully be paid and nonassessable and will not have, or be subject to, any preemptive or similar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“NTLA.”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up to 5,000,000 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sinking fund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or the designation of, such series, any or all of which may be greater than the rights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as an exhibit to the registration statement, of which this prospectus is a part, the form of any certificate of designation that describes the terms of the series of preferred stock we are offering.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Provisions of our Second Amended and Restated Certificate of Incorporation and Second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Delaware General Corporation Law and of our second amended and restated certificate of incorporation and second amended and restated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exchange, mortgage or other disposition involving the interested stockholder of 10% or more of the assets of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Provisions of our Second Amended and Restated Certificate of Incorporation and Second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second amended and restated certificate of incorporation and second amended and restated bylaws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240" w:after="0"/>
        <w:jc w:val="left"/>
        <w:rPr>
          <w:rFonts w:ascii="Times New Roman" w:hAnsi="Times New Roman"/>
          <w:sz w:val="20"/>
        </w:rPr>
      </w:pPr>
      <w:r>
        <w:rPr>
          <w:rFonts w:ascii="Times New Roman" w:hAnsi="Times New Roman"/>
          <w:i/>
          <w:sz w:val="20"/>
        </w:rPr>
        <w:t>Board composition and filling vacancies</w:t>
      </w:r>
      <w:r>
        <w:rPr>
          <w:rFonts w:ascii="Times New Roman" w:hAnsi="Times New Roman"/>
          <w:sz w:val="20"/>
        </w:rPr>
        <w:t xml:space="preserve">. In accordance with our second amended and restated certificate of incorporation, our board is divided into three classes serving staggered three-year terms, with one class being elected each year. Our second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w:t>
      </w:r>
    </w:p>
    <w:p>
      <w:pPr>
        <w:pStyle w:val="TextBody"/>
        <w:bidi w:val="0"/>
        <w:spacing w:before="240" w:after="0"/>
        <w:jc w:val="left"/>
        <w:rPr>
          <w:rFonts w:ascii="Times New Roman" w:hAnsi="Times New Roman"/>
          <w:sz w:val="20"/>
        </w:rPr>
      </w:pPr>
      <w:r>
        <w:rPr>
          <w:rFonts w:ascii="Times New Roman" w:hAnsi="Times New Roman"/>
          <w:i/>
          <w:sz w:val="20"/>
        </w:rPr>
        <w:t>No written consent of stockholders</w:t>
      </w:r>
      <w:r>
        <w:rPr>
          <w:rFonts w:ascii="Times New Roman" w:hAnsi="Times New Roman"/>
          <w:sz w:val="20"/>
        </w:rPr>
        <w:t xml:space="preserve">. Our second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 </w:t>
      </w:r>
    </w:p>
    <w:p>
      <w:pPr>
        <w:pStyle w:val="TextBody"/>
        <w:bidi w:val="0"/>
        <w:spacing w:before="240" w:after="0"/>
        <w:jc w:val="left"/>
        <w:rPr>
          <w:rFonts w:ascii="Times New Roman" w:hAnsi="Times New Roman"/>
          <w:sz w:val="20"/>
        </w:rPr>
      </w:pPr>
      <w:r>
        <w:rPr>
          <w:rFonts w:ascii="Times New Roman" w:hAnsi="Times New Roman"/>
          <w:i/>
          <w:sz w:val="20"/>
        </w:rPr>
        <w:t>Meetings of stockholders</w:t>
      </w:r>
      <w:r>
        <w:rPr>
          <w:rFonts w:ascii="Times New Roman" w:hAnsi="Times New Roman"/>
          <w:sz w:val="20"/>
        </w:rPr>
        <w:t xml:space="preserve">. Our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240" w:after="0"/>
        <w:jc w:val="left"/>
        <w:rPr>
          <w:rFonts w:ascii="Times New Roman" w:hAnsi="Times New Roman"/>
          <w:sz w:val="20"/>
        </w:rPr>
      </w:pPr>
      <w:r>
        <w:rPr>
          <w:rFonts w:ascii="Times New Roman" w:hAnsi="Times New Roman"/>
          <w:i/>
          <w:sz w:val="20"/>
        </w:rPr>
        <w:t>Advance notice requirements</w:t>
      </w:r>
      <w:r>
        <w:rPr>
          <w:rFonts w:ascii="Times New Roman" w:hAnsi="Times New Roman"/>
          <w:sz w:val="20"/>
        </w:rPr>
        <w:t xml:space="preserve">.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bylaws. </w:t>
      </w:r>
    </w:p>
    <w:p>
      <w:pPr>
        <w:pStyle w:val="TextBody"/>
        <w:bidi w:val="0"/>
        <w:spacing w:before="240" w:after="0"/>
        <w:jc w:val="left"/>
        <w:rPr>
          <w:rFonts w:ascii="Times New Roman" w:hAnsi="Times New Roman"/>
          <w:sz w:val="20"/>
        </w:rPr>
      </w:pPr>
      <w:r>
        <w:rPr>
          <w:rFonts w:ascii="Times New Roman" w:hAnsi="Times New Roman"/>
          <w:i/>
          <w:sz w:val="20"/>
        </w:rPr>
        <w:t>Amendment to certificate of incorporation and bylaws</w:t>
      </w:r>
      <w:r>
        <w:rPr>
          <w:rFonts w:ascii="Times New Roman" w:hAnsi="Times New Roman"/>
          <w:sz w:val="20"/>
        </w:rPr>
        <w:t xml:space="preserve">. As required by the Delaware General Corporation Law, any amendment of our second amended and restated certificate of incorporation must first be approved by a majority of our board of directors, and if required by law or our second amended and restated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second amended and restated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240" w:after="0"/>
        <w:jc w:val="left"/>
        <w:rPr>
          <w:rFonts w:ascii="Times New Roman" w:hAnsi="Times New Roman"/>
          <w:sz w:val="20"/>
        </w:rPr>
      </w:pPr>
      <w:r>
        <w:rPr>
          <w:rFonts w:ascii="Times New Roman" w:hAnsi="Times New Roman"/>
          <w:i/>
          <w:sz w:val="20"/>
        </w:rPr>
        <w:t>Exclusive Jurisdiction of Delaware for State Law Claims</w:t>
      </w:r>
      <w:r>
        <w:rPr>
          <w:rFonts w:ascii="Times New Roman" w:hAnsi="Times New Roman"/>
          <w:sz w:val="20"/>
        </w:rPr>
        <w:t xml:space="preserve">. Unless we consent in writing to the selection of an alternative forum, the Court of Chancery of the State of Delaware shall be the sole and exclusive forum for any state law claim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our second amended and restated certificate of incorporation or our bylaws, or (iv) any action asserting a claim against the Company governed by the internal affairs doctrine (the “Delaware Forum Provision”); provided, however, that this Delaware Forum Provision does not apply to any actions arising under the Securities Act or the Exchange Act. The Delaware Forum Provision may impose additional litigation costs on stockholders in pursuing claims covered by the Delaware Forum Provision, particularly if the stockholders do not reside in or near the State of Delaware. Additionally, the Delaware Forum Provision may limit our stockholders’ ability to bring a claim in a judicial forum that they find favorable for disputes with us or our directors, officers or employees, which may discourage the filing of such lawsuits. The Court of Chancery of the State of Delaware may also reach different judgment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Our second amended and restated certificate of incorporation provides for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second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under which we may offer and sell up to $400,000,000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up to 3.0% of the aggregate gross proceeds we receive from each sale of our shares of common stock under the Sales Agreement.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in the amount of $15,000 in connection with certain events described in the Sales Agreement. We estimate that the total expenses for the offering, excluding any commissions or expense reimbursement payable to Jefferies under the terms of the sales agreement, will be approximately $500,000, which includes legal, accounting and printing costs and various other fees associated with registering the shares of common stock.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a current report on Form 8-K filed under the Securities Exchange Act of 1934, as amended, or the Exchange Act, and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and the accompanying prospectus in electronic format may be made available on a website maintained by Jefferies, and Jefferies may distribute the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848543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Certain legal matters in connection with this offering will be passed upon for Jefferies by Latham  &amp; Watkins LLP. </w:t>
      </w:r>
    </w:p>
    <w:p>
      <w:pPr>
        <w:pStyle w:val="TextBody"/>
        <w:bidi w:val="0"/>
        <w:spacing w:before="480" w:after="0"/>
        <w:jc w:val="center"/>
        <w:rPr>
          <w:rFonts w:ascii="Times New Roman" w:hAnsi="Times New Roman"/>
          <w:b/>
          <w:sz w:val="20"/>
        </w:rPr>
      </w:pPr>
      <w:bookmarkStart w:id="12" w:name="supptoc848543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Intellia Therapeutics, Inc. incorporated by reference in this Prospectus and the effectiveness of Intellia Therapeutics,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848543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www.intelliatx.com</w:t>
      </w:r>
      <w:r>
        <w:rPr>
          <w:rFonts w:ascii="Times New Roman" w:hAnsi="Times New Roman"/>
          <w:sz w:val="20"/>
        </w:rPr>
        <w:t xml:space="preserve">. The information on our web site, however, is not, and should not be deemed to be,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is part of a registration statement on Form S-3 that we filed with the SEC and does not contain all of the information in the registration statement. The full registration statement may be obtained from the SEC or us, as provided above. Forms of indenture and other documents establishing the terms of the offered securities are or may be filed as exhibits to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480" w:after="0"/>
        <w:jc w:val="center"/>
        <w:rPr>
          <w:rFonts w:ascii="Times New Roman" w:hAnsi="Times New Roman"/>
          <w:b/>
          <w:sz w:val="20"/>
        </w:rPr>
      </w:pPr>
      <w:bookmarkStart w:id="14" w:name="supptoc848543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4">
              <w:r>
                <w:rPr>
                  <w:rStyle w:val="InternetLink"/>
                  <w:rFonts w:ascii="Times New Roman" w:hAnsi="Times New Roman"/>
                  <w:sz w:val="20"/>
                </w:rPr>
                <w:t>January 9, 2026</w:t>
              </w:r>
            </w:hyperlink>
            <w:r>
              <w:rPr>
                <w:rFonts w:ascii="Times New Roman" w:hAnsi="Times New Roman"/>
                <w:sz w:val="20"/>
              </w:rPr>
              <w:t xml:space="preserve">, </w:t>
            </w:r>
            <w:hyperlink r:id="rId5">
              <w:r>
                <w:rPr>
                  <w:rStyle w:val="InternetLink"/>
                  <w:rFonts w:ascii="Times New Roman" w:hAnsi="Times New Roman"/>
                  <w:sz w:val="20"/>
                </w:rPr>
                <w:t>January  27, 2026</w:t>
              </w:r>
            </w:hyperlink>
            <w:r>
              <w:rPr>
                <w:rFonts w:ascii="Times New Roman" w:hAnsi="Times New Roman"/>
                <w:sz w:val="20"/>
              </w:rPr>
              <w:t xml:space="preserve">, </w:t>
            </w:r>
            <w:hyperlink r:id="rId6">
              <w:r>
                <w:rPr>
                  <w:rStyle w:val="InternetLink"/>
                  <w:rFonts w:ascii="Times New Roman" w:hAnsi="Times New Roman"/>
                  <w:sz w:val="20"/>
                </w:rPr>
                <w:t>February  26, 2026</w:t>
              </w:r>
            </w:hyperlink>
            <w:r>
              <w:rPr>
                <w:rFonts w:ascii="Times New Roman" w:hAnsi="Times New Roman"/>
                <w:sz w:val="20"/>
              </w:rPr>
              <w:t xml:space="preserve">, and </w:t>
            </w:r>
            <w:hyperlink r:id="rId7">
              <w:r>
                <w:rPr>
                  <w:rStyle w:val="InternetLink"/>
                  <w:rFonts w:ascii="Times New Roman" w:hAnsi="Times New Roman"/>
                  <w:sz w:val="20"/>
                </w:rPr>
                <w:t>March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8">
              <w:r>
                <w:rPr>
                  <w:rStyle w:val="InternetLink"/>
                  <w:rFonts w:ascii="Times New Roman" w:hAnsi="Times New Roman"/>
                  <w:sz w:val="20"/>
                </w:rPr>
                <w:t>Form 8-A</w:t>
              </w:r>
            </w:hyperlink>
            <w:r>
              <w:rPr>
                <w:rFonts w:ascii="Times New Roman" w:hAnsi="Times New Roman"/>
                <w:sz w:val="20"/>
              </w:rPr>
              <w:t xml:space="preserve"> filed with the SEC on May 5, 2016 under Section 12(b) of the Exchange Act,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supplement is delivered, a copy of the documents incorporated by reference into this prospectus supplement and the accompanying prospectus but not delivered with this prospectus supplement and the accompanying prospectus. You may request a copy of these filings, and any exhibits we have specifically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as an exhibit in this prospectus supplement, at no cost by writing or telephoning us at the following address: Intellia Therapeutics, Inc., 40 Erie Street, Suite 130, Cambridge, Massachusetts 02139: Attention: Investor Relations/Corporate Secretary, by calling (857) 285-6200 or by emailing IRcontact@intelliatx.com. 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www.intelliatx.com</w:t>
      </w:r>
      <w:r>
        <w:rPr>
          <w:rFonts w:ascii="Times New Roman" w:hAnsi="Times New Roman"/>
          <w:sz w:val="20"/>
        </w:rPr>
        <w:t xml:space="preserve">.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we filed with the SEC. We have incorporated exhibits into the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and the accompanying prospectus. We have not authorized anyone to provide you with different information. We are not making an offer of these securities in any state where the offer is not permitted. You should not assume that the information in this prospectus supplement, the accompanying prospectus or in the documents incorporated by reference is accurate as of any date other than the date on the front of this prospectus supplement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10871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108710" cy="447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issue, in one or more series or classes, our common stock, preferred stock, debt securities, warrants and/or units. We may offer these securities separately or together in units. We will specify in the applicable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applicable accompanying prospectus supplement. We may not sell any securities under this prospectus without delivery of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document and any prospectus supplement or amendment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“NTLA.” On November 20, 2023, the closing price for our common stock, as reported on the Nasdaq Global Market, was $30.28 per share. Our principal executive office is located at 40 Erie Street, Suite 130, Cambridge, Massachusetts 02139.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REFERENCED UNDER THE HEADING “</w:t>
      </w:r>
      <w:hyperlink w:anchor="toc848543_2">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2 AND ANY APPLICABLE PROSPECTUS SUPPLEMENT, AND UNDER SIMILAR HEADINGS IN THE OTHER DOCUMENTS THAT ARE INCORPORATED BY REFERENCE INTO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oc848543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3">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4">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6">
              <w:r>
                <w:rPr>
                  <w:rStyle w:val="InternetLink"/>
                  <w:rFonts w:ascii="Times New Roman" w:hAnsi="Times New Roman"/>
                  <w:sz w:val="20"/>
                </w:rPr>
                <w:t>Securities We May Offer</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9">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274" w:type="dxa"/>
            <w:tcBorders/>
            <w:vAlign w:val="center"/>
          </w:tcPr>
          <w:p>
            <w:pPr>
              <w:pStyle w:val="TableContents"/>
              <w:bidi w:val="0"/>
              <w:spacing w:before="0" w:after="283"/>
              <w:jc w:val="left"/>
              <w:rPr>
                <w:sz w:val="4"/>
                <w:szCs w:val="4"/>
              </w:rPr>
            </w:pPr>
            <w:r>
              <w:rPr>
                <w:sz w:val="4"/>
                <w:szCs w:val="4"/>
              </w:rPr>
            </w:r>
          </w:p>
        </w:tc>
        <w:tc>
          <w:tcPr>
            <w:tcW w:w="931" w:type="dxa"/>
            <w:gridSpan w:val="4"/>
            <w:tcBorders/>
            <w:vAlign w:val="center"/>
          </w:tcPr>
          <w:p>
            <w:pPr>
              <w:pStyle w:val="TableContents"/>
              <w:bidi w:val="0"/>
              <w:spacing w:before="0" w:after="283"/>
              <w:jc w:val="left"/>
              <w:rPr>
                <w:sz w:val="4"/>
                <w:szCs w:val="4"/>
              </w:rPr>
            </w:pPr>
            <w:r>
              <w:rPr>
                <w:sz w:val="4"/>
                <w:szCs w:val="4"/>
              </w:rPr>
            </w:r>
          </w:p>
        </w:tc>
      </w:tr>
      <w:tr>
        <w:trPr/>
        <w:tc>
          <w:tcPr>
            <w:tcW w:w="9274" w:type="dxa"/>
            <w:tcBorders/>
          </w:tcPr>
          <w:p>
            <w:pPr>
              <w:pStyle w:val="TableContents"/>
              <w:bidi w:val="0"/>
              <w:spacing w:before="0" w:after="0"/>
              <w:jc w:val="left"/>
              <w:rPr/>
            </w:pPr>
            <w:hyperlink w:anchor="toc848543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48543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(“SEC”), as a “well-known seasoned issuer” as defined in Rule 405 under the Securities Act of 1933, as amended (the “Securities Act”). Under this shelf registration process,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beginning on page 26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the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suggests otherwise, all references to “us,” “our,” “Intellia Therapeutics,” “we,” the “Company” and similar designations refer to Intellia Therapeutics, Inc. and, where appropriate, our subsidiary, Intellia Securities Corp.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48543_2"/>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(i) our annual report on Form 10-K for the fiscal year ended December 31, 2022 (“Annual Report”), which is on file with the SEC and is incorporated herein by reference, (ii) our quarterly reports on Form 10-Q for the quarters ended March 31, 2023, June 30, 2023, and September 30, 2023, which are on file with the SEC and incorporated herein by reference, and (iii) other documents we file with the SEC that are deemed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48543_3"/>
      <w:bookmarkEnd w:id="1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any related free writing prospectus and the documents that we incorporate by reference herein or therein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clinical study strategy for NTLA-2001, our program for the treatment of transthyretin (“ATTR”) amyloidosis, including the ability to successfully initiate and complete our Phase 3 study, or the success of such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clinical study strategy for NTLA-2002, our program for the treatment of hereditary angioedema (“HAE”), including the ability to successfully complete our Phase 1/2 study, determine a recommended dose that can be advanced into later-stage studies and initiate our Phase 3 study, or the success of such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of our clinical trial application (“CTA”) filing for NTLA-3001, our program for the treatment of alpha-1 antitrypsin deficiency (“AATD”)-associated lung disease, or the success of such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execute our development plans for our preclinical programs, including NTLA-3001;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a modular platform capability or other strategies to efficiently discover and develop product candidates, including by applying learnings from one program to other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develop or maintain a pipeline of product candidates, including </w:t>
            </w:r>
            <w:r>
              <w:rPr>
                <w:rFonts w:ascii="Times New Roman" w:hAnsi="Times New Roman"/>
                <w:i/>
                <w:sz w:val="20"/>
              </w:rPr>
              <w:t>in vivo</w:t>
            </w:r>
            <w:r>
              <w:rPr>
                <w:rFonts w:ascii="Times New Roman" w:hAnsi="Times New Roman"/>
                <w:sz w:val="20"/>
              </w:rPr>
              <w:t xml:space="preserve"> and </w:t>
            </w:r>
            <w:r>
              <w:rPr>
                <w:rFonts w:ascii="Times New Roman" w:hAnsi="Times New Roman"/>
                <w:i/>
                <w:sz w:val="20"/>
              </w:rPr>
              <w:t xml:space="preserve">ex vivo </w:t>
            </w:r>
            <w:r>
              <w:rPr>
                <w:rFonts w:ascii="Times New Roman" w:hAnsi="Times New Roman"/>
                <w:sz w:val="20"/>
              </w:rPr>
              <w:t xml:space="preserve">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or obtain materials for our preclinical and clinical studies,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any product candidates into, and successfully complete, clinical studies, including clinical studies necessary for regulatory approval and commercialization, and to demonstrate to the regulators that the product candidates are safe and effective and that their benefits outweigh known and potential risks for the intended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our genome editing and therapeutic delivery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develop, establish and maintain for intellectual property rights, including patents, trade secrets and license rights, covering our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including commercializing products, without infringing or breaching the proprietary or contractual rights of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enforcement of, and compliance with, regulatory requirements and guidance regarding preclinical and clinical studies relevant to genome editing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acceptance,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expenses, future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agreements, such as collaborations, co-development and co-commercialization, acquisitions, dispositions, mergers, joint ventures, and investment agreements, and our ability to establish and maintain strategic arrangements under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and maintain relevant intellectual property licenses and rights, and the scope and terms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licensors, licensees, third parties and ventures from which we derive or license rights, as well as collaborators, competitors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and our most recent Quarterly Reports on Form 10-Q for the quarters ended March 31, 2023, June 30, 2023, and September 30, 2023, our Current Reports on Form 8-K, and the section of any accompanying prospectus supplement entitled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48543_4"/>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clinical-stage genome editing company, focused on developing potentially curative therapeutics using CRISPR/Cas9-based technologies. CRISPR/Cas9, an acronym for </w:t>
      </w:r>
      <w:r>
        <w:rPr>
          <w:rFonts w:ascii="Times New Roman" w:hAnsi="Times New Roman"/>
          <w:sz w:val="20"/>
          <w:u w:val="single"/>
        </w:rPr>
        <w:t>C</w:t>
      </w:r>
      <w:r>
        <w:rPr>
          <w:rFonts w:ascii="Times New Roman" w:hAnsi="Times New Roman"/>
          <w:sz w:val="20"/>
        </w:rPr>
        <w:t xml:space="preserve">lustered, </w:t>
      </w:r>
      <w:r>
        <w:rPr>
          <w:rFonts w:ascii="Times New Roman" w:hAnsi="Times New Roman"/>
          <w:sz w:val="20"/>
          <w:u w:val="single"/>
        </w:rPr>
        <w:t>R</w:t>
      </w:r>
      <w:r>
        <w:rPr>
          <w:rFonts w:ascii="Times New Roman" w:hAnsi="Times New Roman"/>
          <w:sz w:val="20"/>
        </w:rPr>
        <w:t xml:space="preserve">egularly </w:t>
      </w:r>
      <w:r>
        <w:rPr>
          <w:rFonts w:ascii="Times New Roman" w:hAnsi="Times New Roman"/>
          <w:sz w:val="20"/>
          <w:u w:val="single"/>
        </w:rPr>
        <w:t>I</w:t>
      </w:r>
      <w:r>
        <w:rPr>
          <w:rFonts w:ascii="Times New Roman" w:hAnsi="Times New Roman"/>
          <w:sz w:val="20"/>
        </w:rPr>
        <w:t xml:space="preserve">nterspaced </w:t>
      </w:r>
      <w:r>
        <w:rPr>
          <w:rFonts w:ascii="Times New Roman" w:hAnsi="Times New Roman"/>
          <w:sz w:val="20"/>
          <w:u w:val="single"/>
        </w:rPr>
        <w:t>S</w:t>
      </w:r>
      <w:r>
        <w:rPr>
          <w:rFonts w:ascii="Times New Roman" w:hAnsi="Times New Roman"/>
          <w:sz w:val="20"/>
        </w:rPr>
        <w:t xml:space="preserve">hort </w:t>
      </w:r>
      <w:r>
        <w:rPr>
          <w:rFonts w:ascii="Times New Roman" w:hAnsi="Times New Roman"/>
          <w:sz w:val="20"/>
          <w:u w:val="single"/>
        </w:rPr>
        <w:t>P</w:t>
      </w:r>
      <w:r>
        <w:rPr>
          <w:rFonts w:ascii="Times New Roman" w:hAnsi="Times New Roman"/>
          <w:sz w:val="20"/>
        </w:rPr>
        <w:t xml:space="preserve">alindromic </w:t>
      </w:r>
      <w:r>
        <w:rPr>
          <w:rFonts w:ascii="Times New Roman" w:hAnsi="Times New Roman"/>
          <w:sz w:val="20"/>
          <w:u w:val="single"/>
        </w:rPr>
        <w:t>R</w:t>
      </w:r>
      <w:r>
        <w:rPr>
          <w:rFonts w:ascii="Times New Roman" w:hAnsi="Times New Roman"/>
          <w:sz w:val="20"/>
        </w:rPr>
        <w:t xml:space="preserve">epeats (“CRISPR”)/CRISPR associated 9 (“Cas9”), is a technology for genome editing, the process of altering selected sequences of genomic deoxyribonucleic acid (“DNA”). To fully realize the transformative potential of CRISPR/Cas9-based technologies, we are building a full-spectrum genome editing company, by leveraging our modular platform, to advance </w:t>
      </w:r>
      <w:r>
        <w:rPr>
          <w:rFonts w:ascii="Times New Roman" w:hAnsi="Times New Roman"/>
          <w:i/>
          <w:sz w:val="20"/>
        </w:rPr>
        <w:t xml:space="preserve">in vivo </w:t>
      </w:r>
      <w:r>
        <w:rPr>
          <w:rFonts w:ascii="Times New Roman" w:hAnsi="Times New Roman"/>
          <w:sz w:val="20"/>
        </w:rPr>
        <w:t xml:space="preserve">and </w:t>
      </w:r>
      <w:r>
        <w:rPr>
          <w:rFonts w:ascii="Times New Roman" w:hAnsi="Times New Roman"/>
          <w:i/>
          <w:sz w:val="20"/>
        </w:rPr>
        <w:t>ex vivo</w:t>
      </w:r>
      <w:r>
        <w:rPr>
          <w:rFonts w:ascii="Times New Roman" w:hAnsi="Times New Roman"/>
          <w:sz w:val="20"/>
        </w:rPr>
        <w:t xml:space="preserve"> therapies for diseases with high unmet need by pursuing two primary approaches. For </w:t>
      </w:r>
      <w:r>
        <w:rPr>
          <w:rFonts w:ascii="Times New Roman" w:hAnsi="Times New Roman"/>
          <w:i/>
          <w:sz w:val="20"/>
        </w:rPr>
        <w:t>in vivo</w:t>
      </w:r>
      <w:r>
        <w:rPr>
          <w:rFonts w:ascii="Times New Roman" w:hAnsi="Times New Roman"/>
          <w:sz w:val="20"/>
        </w:rPr>
        <w:t xml:space="preserve"> applications to address genetic diseases, we deploy CRISPR/Cas9 as the therapy that targets cells within the body. In parallel, we are developing </w:t>
      </w:r>
      <w:r>
        <w:rPr>
          <w:rFonts w:ascii="Times New Roman" w:hAnsi="Times New Roman"/>
          <w:i/>
          <w:sz w:val="20"/>
        </w:rPr>
        <w:t>ex vivo</w:t>
      </w:r>
      <w:r>
        <w:rPr>
          <w:rFonts w:ascii="Times New Roman" w:hAnsi="Times New Roman"/>
          <w:sz w:val="20"/>
        </w:rPr>
        <w:t xml:space="preserve"> applications to address immuno-oncology and autoimmune diseases, where we use CRISPR/Cas9 as the tool to create the engineered cell therapy. Our deep scientific, technical and clinical development experience, along with our robust intellectual property (“IP”) portfolio, have enabled us to unlock broad therapeutic applications of CRISPR/Cas9 and related technologies to create new classes of genetic medicine. </w:t>
      </w:r>
    </w:p>
    <w:p>
      <w:pPr>
        <w:pStyle w:val="TextBody"/>
        <w:bidi w:val="0"/>
        <w:spacing w:before="240" w:after="0"/>
        <w:jc w:val="left"/>
        <w:rPr>
          <w:rFonts w:ascii="Times New Roman" w:hAnsi="Times New Roman"/>
          <w:sz w:val="20"/>
        </w:rPr>
      </w:pPr>
      <w:r>
        <w:rPr>
          <w:rFonts w:ascii="Times New Roman" w:hAnsi="Times New Roman"/>
          <w:sz w:val="20"/>
        </w:rPr>
        <w:t xml:space="preserve">Treating—and potentially curing—a broad range of severe diseases will require multiple gene editing approaches. With proprietary CRISPR/Cas9-based technology at the core of our platform, we continue to add new capabilities to expand our current solutions for addressing a multitude of life-threatening diseases. These additions include our proprietary base editor and DNA writing technology, as well as novel CRISPR enzymes, which provide us with the capabilities to achieve multiple editing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advance our platform’s modular solutions and research efforts on genome editing technologies as well as delivery and cell engineering capabilities to generate additional development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mission is to transform the lives of people with severe diseases by developing curative genome editing treatments. We believe we can deliver on our mission and provide long-term benefits for all of our stakeholders by focusing on four key elements: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curative CRISPR/Cas9-based medicines;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science;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the best place to make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Focus on long-term sustainability.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strategy is to advance our full-spectrum genome editing company, focused on developing and commercializing curative CRISPR/Cas9-based therapeutics, by leveraging our modular platforms. </w:t>
      </w:r>
    </w:p>
    <w:p>
      <w:pPr>
        <w:pStyle w:val="TextBody"/>
        <w:bidi w:val="0"/>
        <w:spacing w:before="240" w:after="0"/>
        <w:jc w:val="left"/>
        <w:rPr>
          <w:rFonts w:ascii="Times New Roman" w:hAnsi="Times New Roman"/>
          <w:sz w:val="20"/>
        </w:rPr>
      </w:pPr>
      <w:r>
        <w:rPr>
          <w:rFonts w:ascii="Times New Roman" w:hAnsi="Times New Roman"/>
          <w:sz w:val="20"/>
        </w:rPr>
        <w:t xml:space="preserve">Our lead </w:t>
      </w:r>
      <w:r>
        <w:rPr>
          <w:rFonts w:ascii="Times New Roman" w:hAnsi="Times New Roman"/>
          <w:i/>
          <w:sz w:val="20"/>
        </w:rPr>
        <w:t>in vivo</w:t>
      </w:r>
      <w:r>
        <w:rPr>
          <w:rFonts w:ascii="Times New Roman" w:hAnsi="Times New Roman"/>
          <w:sz w:val="20"/>
        </w:rPr>
        <w:t xml:space="preserve"> candidates, NTLA-2001 for the treatment of ATTR amyloidosis and NTLA-2002 for the treatment of HAE, are the first CRISPR/Cas9-based therapy candidates to be administered systemically, via intravenous infusion, for precision editing of a gene in a target tissue in humans. In parallel, we are advancing multiple </w:t>
      </w:r>
      <w:r>
        <w:rPr>
          <w:rFonts w:ascii="Times New Roman" w:hAnsi="Times New Roman"/>
          <w:i/>
          <w:sz w:val="20"/>
        </w:rPr>
        <w:t>ex vivo</w:t>
      </w:r>
      <w:r>
        <w:rPr>
          <w:rFonts w:ascii="Times New Roman" w:hAnsi="Times New Roman"/>
          <w:sz w:val="20"/>
        </w:rPr>
        <w:t xml:space="preserve"> programs, wholly owned and in collaboration with partners, for the treatment of immuno-oncology and autoimmune diseases.</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May 2014 under the name AZRN, Inc. Our principal executive offices are located at 40 Erie Street, Suite 130, Cambridge, Massachusetts 02139. Our telephone number is (857) 285-6200, and our website is located at </w:t>
      </w:r>
      <w:r>
        <w:rPr>
          <w:rFonts w:ascii="Times New Roman" w:hAnsi="Times New Roman"/>
          <w:i/>
          <w:sz w:val="20"/>
        </w:rPr>
        <w:t>www.intelliatx.com</w:t>
      </w:r>
      <w:r>
        <w:rPr>
          <w:rFonts w:ascii="Times New Roman" w:hAnsi="Times New Roman"/>
          <w:sz w:val="20"/>
        </w:rPr>
        <w:t xml:space="preserve">. No portion of our website is incorporated by reference into this prospectus. We do not incorporate the information on or accessible through our website into this prospectus, and you should not consider any information on, or that can be accessed through, our website as part of this prospectus. Our common stock trades on the Nasdaq Global Market under the symbol “NTLA”.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convenience, the trademarks and trade names in this prospectus may be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48543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research and development and clinical development costs to support the advancement of our product candidates and the expansion of our research and development programs; working capital; capital expenditures; office expansion;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48543_6"/>
      <w:bookmarkEnd w:id="20"/>
      <w:r>
        <w:rPr>
          <w:rFonts w:ascii="Times New Roman" w:hAnsi="Times New Roman"/>
          <w:b/>
          <w:sz w:val="20"/>
        </w:rPr>
        <w:t xml:space="preserve">SECURITIES WE MAY OFFER </w:t>
      </w:r>
    </w:p>
    <w:p>
      <w:pPr>
        <w:pStyle w:val="TextBody"/>
        <w:bidi w:val="0"/>
        <w:spacing w:before="240" w:after="0"/>
        <w:jc w:val="left"/>
        <w:rPr>
          <w:rFonts w:ascii="Times New Roman" w:hAnsi="Times New Roman"/>
          <w:i/>
          <w:sz w:val="20"/>
        </w:rPr>
      </w:pPr>
      <w:r>
        <w:rPr>
          <w:rFonts w:ascii="Times New Roman" w:hAnsi="Times New Roman"/>
          <w:i/>
          <w:sz w:val="20"/>
        </w:rPr>
        <w:t xml:space="preserve">This prospectus contains summary descriptions of the securities we may offer from time to time. These summary descriptions are not meant to be complete descriptions of each security. The particular terms of any security will be described in the applicable prospectus supplement. </w:t>
      </w:r>
    </w:p>
    <w:p>
      <w:pPr>
        <w:pStyle w:val="TextBody"/>
        <w:bidi w:val="0"/>
        <w:spacing w:before="480" w:after="0"/>
        <w:jc w:val="center"/>
        <w:rPr>
          <w:rFonts w:ascii="Times New Roman" w:hAnsi="Times New Roman"/>
          <w:b/>
          <w:sz w:val="20"/>
        </w:rPr>
      </w:pPr>
      <w:bookmarkStart w:id="21" w:name="toc848543_7"/>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240,000,000 shares of common stock, par value $0.0001 per share, and 5,000,000 shares of preferred stock, par value $0.0001 per share, all of which are undesignated preferred stock. As of September 30, 2023, we had 89,097,821 shares of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common stock under this prospectus, the shares will fully be paid and nonassessable and will not have, or be subject to, any preemptive or similar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“NTLA.” On November 20, 2023, the closing price for our common stock, as reported on the Nasdaq Global Market, was $30.28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up to 5,000,000 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may fix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sinking fund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or the designation of, such series, any or all of which may be greater than the rights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Provisions of our Second Amended and Restated Certificate of Incorporation, as Amended and Second Amended and Restated Bylaws, as Amended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Delaware General Corporation Law and of our second amended and restated certificate of incorporation, as amended from time to time (“Charter”), and second amended and restated bylaws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exchange, mortgage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Provisions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include a number of provisions that may have the effect of delaying, deferring or discouraging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240" w:after="0"/>
        <w:jc w:val="left"/>
        <w:rPr>
          <w:rFonts w:ascii="Times New Roman" w:hAnsi="Times New Roman"/>
          <w:sz w:val="20"/>
        </w:rPr>
      </w:pPr>
      <w:r>
        <w:rPr>
          <w:rFonts w:ascii="Times New Roman" w:hAnsi="Times New Roman"/>
          <w:i/>
          <w:sz w:val="20"/>
        </w:rPr>
        <w:t>Board composition and filling vacancies</w:t>
      </w:r>
      <w:r>
        <w:rPr>
          <w:rFonts w:ascii="Times New Roman" w:hAnsi="Times New Roman"/>
          <w:sz w:val="20"/>
        </w:rPr>
        <w:t xml:space="preserve">. In accordance with our Charter, our board is divided into three classes serving staggered three-year terms, with one class being elected each year. Our Charter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w:t>
      </w:r>
    </w:p>
    <w:p>
      <w:pPr>
        <w:pStyle w:val="TextBody"/>
        <w:bidi w:val="0"/>
        <w:spacing w:before="240" w:after="0"/>
        <w:jc w:val="left"/>
        <w:rPr>
          <w:rFonts w:ascii="Times New Roman" w:hAnsi="Times New Roman"/>
          <w:sz w:val="20"/>
        </w:rPr>
      </w:pPr>
      <w:r>
        <w:rPr>
          <w:rFonts w:ascii="Times New Roman" w:hAnsi="Times New Roman"/>
          <w:i/>
          <w:sz w:val="20"/>
        </w:rPr>
        <w:t>No written consent of stockholders</w:t>
      </w:r>
      <w:r>
        <w:rPr>
          <w:rFonts w:ascii="Times New Roman" w:hAnsi="Times New Roman"/>
          <w:sz w:val="20"/>
        </w:rPr>
        <w:t xml:space="preserve">. 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 without holding a meeting of stockholders. </w:t>
      </w:r>
    </w:p>
    <w:p>
      <w:pPr>
        <w:pStyle w:val="TextBody"/>
        <w:bidi w:val="0"/>
        <w:spacing w:before="240" w:after="0"/>
        <w:jc w:val="left"/>
        <w:rPr>
          <w:rFonts w:ascii="Times New Roman" w:hAnsi="Times New Roman"/>
          <w:sz w:val="20"/>
        </w:rPr>
      </w:pPr>
      <w:r>
        <w:rPr>
          <w:rFonts w:ascii="Times New Roman" w:hAnsi="Times New Roman"/>
          <w:i/>
          <w:sz w:val="20"/>
        </w:rPr>
        <w:t>Meetings of stockholders</w:t>
      </w:r>
      <w:r>
        <w:rPr>
          <w:rFonts w:ascii="Times New Roman" w:hAnsi="Times New Roman"/>
          <w:sz w:val="20"/>
        </w:rPr>
        <w:t xml:space="preserve">. Our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240" w:after="0"/>
        <w:jc w:val="left"/>
        <w:rPr>
          <w:rFonts w:ascii="Times New Roman" w:hAnsi="Times New Roman"/>
          <w:sz w:val="20"/>
        </w:rPr>
      </w:pPr>
      <w:r>
        <w:rPr>
          <w:rFonts w:ascii="Times New Roman" w:hAnsi="Times New Roman"/>
          <w:i/>
          <w:sz w:val="20"/>
        </w:rPr>
        <w:t>Advance notice requirements</w:t>
      </w:r>
      <w:r>
        <w:rPr>
          <w:rFonts w:ascii="Times New Roman" w:hAnsi="Times New Roman"/>
          <w:sz w:val="20"/>
        </w:rPr>
        <w:t xml:space="preserve">. Our Bylaws establish advance notice procedures with regard to stockholder proposals relating to the nomination of candidates for election as directors or new business to be brought before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our Bylaws. </w:t>
      </w:r>
    </w:p>
    <w:p>
      <w:pPr>
        <w:pStyle w:val="TextBody"/>
        <w:bidi w:val="0"/>
        <w:spacing w:before="240" w:after="0"/>
        <w:jc w:val="left"/>
        <w:rPr>
          <w:rFonts w:ascii="Times New Roman" w:hAnsi="Times New Roman"/>
          <w:sz w:val="20"/>
        </w:rPr>
      </w:pPr>
      <w:r>
        <w:rPr>
          <w:rFonts w:ascii="Times New Roman" w:hAnsi="Times New Roman"/>
          <w:i/>
          <w:sz w:val="20"/>
        </w:rPr>
        <w:t>Amendment to Charter and Bylaws</w:t>
      </w:r>
      <w:r>
        <w:rPr>
          <w:rFonts w:ascii="Times New Roman" w:hAnsi="Times New Roman"/>
          <w:sz w:val="20"/>
        </w:rPr>
        <w:t xml:space="preserve">. As required by the Delaware General Corporation Law, any amendment of our Charter must first be approved by a majority of our board of directors, and if required by law,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directors, directors’ limitation of liability, exclusive jurisdiction and the amendment of our Charter or Bylaws must be approved by not less than 75% of the outstanding shares entitled to vote on the amendment, and not less than 75%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Our Charter provides for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w:t>
      </w:r>
    </w:p>
    <w:p>
      <w:pPr>
        <w:pStyle w:val="TextBody"/>
        <w:bidi w:val="0"/>
        <w:spacing w:before="240" w:after="0"/>
        <w:jc w:val="left"/>
        <w:rPr>
          <w:rFonts w:ascii="Times New Roman" w:hAnsi="Times New Roman"/>
          <w:sz w:val="20"/>
        </w:rPr>
      </w:pPr>
      <w:r>
        <w:rPr>
          <w:rFonts w:ascii="Times New Roman" w:hAnsi="Times New Roman"/>
          <w:sz w:val="20"/>
        </w:rPr>
        <w:t xml:space="preserve">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240" w:after="0"/>
        <w:jc w:val="left"/>
        <w:rPr>
          <w:rFonts w:ascii="Times New Roman" w:hAnsi="Times New Roman"/>
          <w:sz w:val="20"/>
        </w:rPr>
      </w:pPr>
      <w:r>
        <w:rPr>
          <w:rFonts w:ascii="Times New Roman" w:hAnsi="Times New Roman"/>
          <w:i/>
          <w:sz w:val="20"/>
        </w:rPr>
        <w:t>Choice</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Forum</w:t>
      </w:r>
      <w:r>
        <w:rPr>
          <w:rFonts w:ascii="Times New Roman" w:hAnsi="Times New Roman"/>
          <w:sz w:val="20"/>
        </w:rPr>
        <w:t xml:space="preserve">. Our Charter and Bylaws provide that, unless we consent in writing to the selection of an alternative forum, the Court of Chancery of the State of Delaware (or under our Bylaws, if the Court of Chancery does not have jurisdiction, the federal district court for the District of Delaware or other state courts of the State of Delaware) will be the sole and exclusive forum for state law claims for (1) any derivative action or proceeding brought on our behalf; (2) any action asserting a claim of breach of a fiduciary duty or other wrongdoing by any of our directors, officers, employees or agents to us or our stockholders; (3) any action asserting a claim against us, or any current or former director, officer, or other employee or stockholder, arising out of or pursuant to any provision of the General Corporation Law of the State of Delaware or our Charter or Bylaws; and (4) any action asserting a claim against us governed by the internal affairs doctrine. The choice of forum provision does not apply to any causes of action arising under the Exchange Act or any other claim for which the federal courts have exclusive jurisdiction. Our Bylaws further provide that, unless we consent in writing to an alternative forum, the United States District Court for the District of Massachusetts will be the exclusive forum for resolving any complaint asserting a cause of action arising under the Securities Act. Our Bylaws and Charter also provide that any person or entity purchasing or otherwise acquiring any interest in shares of our capital stock will be deemed to have notice of and to have consented to these choice of forum provisions. It is possible that a court of law could rule that the choice of forum provisions contained in our Bylaws and Charter are inapplicable or unenforceable if they are challenged in a proceeding or otherwise. Additionally, the forum selection provisions in our Bylaws and Charter may limit our stockholders’ ability to obtain a favorable judicial forum for disputes with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48543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each offering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or subordinated;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debt securities of the series shall bear interest or the manner of calculation of such rate or rates,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such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debt securities of the series may be redeemed, converted or exchanged,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including the form of the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one thousand U.S. dollars ($1,000) or any integral multiple of $1,000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events of default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covenants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or alternative provisions, if any, related to defeasance and discharge of the offered debt securities than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insofar as it applies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without the consent of the holders of any outstanding debt securities, (i) consolidate with, (ii) sell, lease or convey all or substantially all of our assets to, or (iii)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applicable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90 days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on, any debt security of such series when due and payable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or warranty in the debt securities or in the indenture by us continuing for 90 days after written notice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or court appointment of a receiver, liquidator or trustee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interest and, to the extent permitted by law, interest on overdue installment of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applicable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applicable indenture or in the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covenant described above under “—Merger, Consolidation or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notes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applicable indenture by a successor trustee or to appoint a separate trustee with respect to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or any successor in connection with the qualification of the indenture under the Trust Indenture Act of 1939, as amended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applicable indenture to this “Description of Debt Securities” or any other similarly titled section in any prospectus supplement or other offering document relating to a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Payment by us of the principal of, premium, if any, and interest on any series of subordinated debt securities issued under the subordinated indenture will be subordinated to the extent set forth in an indenture supplemental to the subordinated indenture relating to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48543_9"/>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48543_10"/>
      <w:bookmarkEnd w:id="2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including modifying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48543_1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or any other method permitted by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48543_12"/>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 </w:t>
      </w:r>
    </w:p>
    <w:p>
      <w:pPr>
        <w:pStyle w:val="TextBody"/>
        <w:bidi w:val="0"/>
        <w:spacing w:before="480" w:after="0"/>
        <w:jc w:val="center"/>
        <w:rPr>
          <w:rFonts w:ascii="Times New Roman" w:hAnsi="Times New Roman"/>
          <w:b/>
          <w:sz w:val="20"/>
        </w:rPr>
      </w:pPr>
      <w:bookmarkStart w:id="27" w:name="toc848543_13"/>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Intellia Therapeutics, Inc. incorporated by reference in this Prospectus, and the effectiveness of Intellia Therapeutics, Inc.’s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480" w:after="0"/>
        <w:jc w:val="center"/>
        <w:rPr>
          <w:rFonts w:ascii="Times New Roman" w:hAnsi="Times New Roman"/>
          <w:b/>
          <w:sz w:val="20"/>
        </w:rPr>
      </w:pPr>
      <w:bookmarkStart w:id="28" w:name="toc848543_14"/>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(“EDGAR”), via electronic means, including the SEC’s home page on the Internet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Intellia Therapeutics, Inc., 40 Erie Street, Suite 130, Cambridge, Massachusetts 02139, Attention: Investor Relations / Corporate Secretary; telephone: (857) 285-6200.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before="480" w:after="0"/>
        <w:jc w:val="center"/>
        <w:rPr>
          <w:rFonts w:ascii="Times New Roman" w:hAnsi="Times New Roman"/>
          <w:b/>
          <w:sz w:val="20"/>
        </w:rPr>
      </w:pPr>
      <w:bookmarkStart w:id="29" w:name="toc848543_15"/>
      <w:bookmarkEnd w:id="2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(SEC File No. 001-37766),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February 23,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2022 from our definitive proxy statement on </w:t>
            </w:r>
            <w:hyperlink r:id="rId11">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which was filed with the SEC on May 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filed with the SEC for the quarters ended March 31, 2023, June 30, 2023, and September 30, 2023, filed with the SEC on </w:t>
            </w:r>
            <w:hyperlink r:id="rId12">
              <w:r>
                <w:rPr>
                  <w:rStyle w:val="InternetLink"/>
                  <w:rFonts w:ascii="Times New Roman" w:hAnsi="Times New Roman"/>
                  <w:sz w:val="20"/>
                </w:rPr>
                <w:t>May  4, 2023</w:t>
              </w:r>
            </w:hyperlink>
            <w:r>
              <w:rPr>
                <w:rFonts w:ascii="Times New Roman" w:hAnsi="Times New Roman"/>
                <w:sz w:val="20"/>
              </w:rPr>
              <w:t xml:space="preserve">, </w:t>
            </w:r>
            <w:hyperlink r:id="rId13">
              <w:r>
                <w:rPr>
                  <w:rStyle w:val="InternetLink"/>
                  <w:rFonts w:ascii="Times New Roman" w:hAnsi="Times New Roman"/>
                  <w:sz w:val="20"/>
                </w:rPr>
                <w:t>August  3, 2023</w:t>
              </w:r>
            </w:hyperlink>
            <w:r>
              <w:rPr>
                <w:rFonts w:ascii="Times New Roman" w:hAnsi="Times New Roman"/>
                <w:sz w:val="20"/>
              </w:rPr>
              <w:t xml:space="preserve">, and </w:t>
            </w:r>
            <w:hyperlink r:id="rId14">
              <w:r>
                <w:rPr>
                  <w:rStyle w:val="InternetLink"/>
                  <w:rFonts w:ascii="Times New Roman" w:hAnsi="Times New Roman"/>
                  <w:sz w:val="20"/>
                </w:rPr>
                <w:t>November 9,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15">
              <w:r>
                <w:rPr>
                  <w:rStyle w:val="InternetLink"/>
                  <w:rFonts w:ascii="Times New Roman" w:hAnsi="Times New Roman"/>
                  <w:sz w:val="20"/>
                </w:rPr>
                <w:t>January 5, 2023</w:t>
              </w:r>
            </w:hyperlink>
            <w:r>
              <w:rPr>
                <w:rFonts w:ascii="Times New Roman" w:hAnsi="Times New Roman"/>
                <w:sz w:val="20"/>
              </w:rPr>
              <w:t xml:space="preserve">, </w:t>
            </w:r>
            <w:hyperlink r:id="rId16">
              <w:r>
                <w:rPr>
                  <w:rStyle w:val="InternetLink"/>
                  <w:rFonts w:ascii="Times New Roman" w:hAnsi="Times New Roman"/>
                  <w:sz w:val="20"/>
                </w:rPr>
                <w:t>March  2, 2023</w:t>
              </w:r>
            </w:hyperlink>
            <w:r>
              <w:rPr>
                <w:rFonts w:ascii="Times New Roman" w:hAnsi="Times New Roman"/>
                <w:sz w:val="20"/>
              </w:rPr>
              <w:t xml:space="preserve">, </w:t>
            </w:r>
            <w:hyperlink r:id="rId17">
              <w:r>
                <w:rPr>
                  <w:rStyle w:val="InternetLink"/>
                  <w:rFonts w:ascii="Times New Roman" w:hAnsi="Times New Roman"/>
                  <w:sz w:val="20"/>
                </w:rPr>
                <w:t>March  24, 2023</w:t>
              </w:r>
            </w:hyperlink>
            <w:r>
              <w:rPr>
                <w:rFonts w:ascii="Times New Roman" w:hAnsi="Times New Roman"/>
                <w:sz w:val="20"/>
              </w:rPr>
              <w:t xml:space="preserve">, </w:t>
            </w:r>
            <w:hyperlink r:id="rId18">
              <w:r>
                <w:rPr>
                  <w:rStyle w:val="InternetLink"/>
                  <w:rFonts w:ascii="Times New Roman" w:hAnsi="Times New Roman"/>
                  <w:sz w:val="20"/>
                </w:rPr>
                <w:t>April  17, 2023</w:t>
              </w:r>
            </w:hyperlink>
            <w:r>
              <w:rPr>
                <w:rFonts w:ascii="Times New Roman" w:hAnsi="Times New Roman"/>
                <w:sz w:val="20"/>
              </w:rPr>
              <w:t xml:space="preserve">, </w:t>
            </w:r>
            <w:hyperlink r:id="rId19">
              <w:r>
                <w:rPr>
                  <w:rStyle w:val="InternetLink"/>
                  <w:rFonts w:ascii="Times New Roman" w:hAnsi="Times New Roman"/>
                  <w:sz w:val="20"/>
                </w:rPr>
                <w:t>June  5, 2023</w:t>
              </w:r>
            </w:hyperlink>
            <w:r>
              <w:rPr>
                <w:rFonts w:ascii="Times New Roman" w:hAnsi="Times New Roman"/>
                <w:sz w:val="20"/>
              </w:rPr>
              <w:t xml:space="preserve">, </w:t>
            </w:r>
            <w:hyperlink r:id="rId20">
              <w:r>
                <w:rPr>
                  <w:rStyle w:val="InternetLink"/>
                  <w:rFonts w:ascii="Times New Roman" w:hAnsi="Times New Roman"/>
                  <w:sz w:val="20"/>
                </w:rPr>
                <w:t>June  12, 2023</w:t>
              </w:r>
            </w:hyperlink>
            <w:r>
              <w:rPr>
                <w:rFonts w:ascii="Times New Roman" w:hAnsi="Times New Roman"/>
                <w:sz w:val="20"/>
              </w:rPr>
              <w:t xml:space="preserve">, </w:t>
            </w:r>
            <w:hyperlink r:id="rId21">
              <w:r>
                <w:rPr>
                  <w:rStyle w:val="InternetLink"/>
                  <w:rFonts w:ascii="Times New Roman" w:hAnsi="Times New Roman"/>
                  <w:sz w:val="20"/>
                </w:rPr>
                <w:t>June  16, 2023</w:t>
              </w:r>
            </w:hyperlink>
            <w:r>
              <w:rPr>
                <w:rFonts w:ascii="Times New Roman" w:hAnsi="Times New Roman"/>
                <w:sz w:val="20"/>
              </w:rPr>
              <w:t xml:space="preserve">, </w:t>
            </w:r>
            <w:hyperlink r:id="rId22">
              <w:r>
                <w:rPr>
                  <w:rStyle w:val="InternetLink"/>
                  <w:rFonts w:ascii="Times New Roman" w:hAnsi="Times New Roman"/>
                  <w:sz w:val="20"/>
                </w:rPr>
                <w:t>October  3, 2023</w:t>
              </w:r>
            </w:hyperlink>
            <w:r>
              <w:rPr>
                <w:rFonts w:ascii="Times New Roman" w:hAnsi="Times New Roman"/>
                <w:sz w:val="20"/>
              </w:rPr>
              <w:t xml:space="preserve">, </w:t>
            </w:r>
            <w:hyperlink r:id="rId23">
              <w:r>
                <w:rPr>
                  <w:rStyle w:val="InternetLink"/>
                  <w:rFonts w:ascii="Times New Roman" w:hAnsi="Times New Roman"/>
                  <w:sz w:val="20"/>
                </w:rPr>
                <w:t>October  18, 2023</w:t>
              </w:r>
            </w:hyperlink>
            <w:r>
              <w:rPr>
                <w:rFonts w:ascii="Times New Roman" w:hAnsi="Times New Roman"/>
                <w:sz w:val="20"/>
              </w:rPr>
              <w:t xml:space="preserve">, and </w:t>
            </w:r>
            <w:hyperlink r:id="rId24">
              <w:r>
                <w:rPr>
                  <w:rStyle w:val="InternetLink"/>
                  <w:rFonts w:ascii="Times New Roman" w:hAnsi="Times New Roman"/>
                  <w:sz w:val="20"/>
                </w:rPr>
                <w:t>November 2,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25">
              <w:r>
                <w:rPr>
                  <w:rStyle w:val="InternetLink"/>
                  <w:rFonts w:ascii="Times New Roman" w:hAnsi="Times New Roman"/>
                  <w:sz w:val="20"/>
                </w:rPr>
                <w:t>Exhibit 4.4</w:t>
              </w:r>
            </w:hyperlink>
            <w:r>
              <w:rPr>
                <w:rFonts w:ascii="Times New Roman" w:hAnsi="Times New Roman"/>
                <w:sz w:val="20"/>
              </w:rPr>
              <w:t xml:space="preserve"> to our </w:t>
            </w:r>
            <w:hyperlink r:id="rId26">
              <w:r>
                <w:rPr>
                  <w:rStyle w:val="InternetLink"/>
                  <w:rFonts w:ascii="Times New Roman" w:hAnsi="Times New Roman"/>
                  <w:sz w:val="20"/>
                </w:rPr>
                <w:t>Form 10-K</w:t>
              </w:r>
            </w:hyperlink>
            <w:r>
              <w:rPr>
                <w:rFonts w:ascii="Times New Roman" w:hAnsi="Times New Roman"/>
                <w:sz w:val="20"/>
              </w:rPr>
              <w:t xml:space="preserve"> for the fiscal year ended December 31, 2019, filed with the SEC on February 27, 2020, including any amendments or reports filed for the purpose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Intellia Therapeutics, Inc., 40 Erie Street, Suite 130, Cambridge, Massachusetts 02139, Attention: Investor Relations / Corporate Secretary; telephone: (857) 285-6200.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www.intelliatx.com</w:t>
      </w:r>
      <w:r>
        <w:rPr>
          <w:rFonts w:ascii="Times New Roman" w:hAnsi="Times New Roman"/>
          <w:sz w:val="20"/>
        </w:rPr>
        <w:t xml:space="preserve">.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Up to $400,000,000 of Shares </w:t>
      </w:r>
    </w:p>
    <w:p>
      <w:pPr>
        <w:pStyle w:val="TextBody"/>
        <w:bidi w:val="0"/>
        <w:spacing w:before="480" w:after="0"/>
        <w:jc w:val="center"/>
        <w:rPr>
          <w:rFonts w:ascii="Times New Roman" w:hAnsi="Times New Roman"/>
          <w:b/>
          <w:sz w:val="48"/>
        </w:rPr>
      </w:pPr>
      <w:r>
        <w:rPr>
          <w:rFonts w:ascii="Times New Roman" w:hAnsi="Times New Roman"/>
          <w:b/>
          <w:sz w:val="48"/>
        </w:rPr>
        <w:t xml:space="preserve">Intellia Therapeutics, Inc.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9423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094230" cy="7905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20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0" w:name="d848543dexfilingfees.htm"/>
      <w:bookmarkStart w:id="31" w:name="ksd848543dexfilingfees"/>
      <w:bookmarkStart w:id="32" w:name="d848543dexfilingfees.htm"/>
      <w:bookmarkStart w:id="33" w:name="ksd848543dexfilingfees"/>
      <w:bookmarkEnd w:id="32"/>
      <w:bookmarkEnd w:id="33"/>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Intellia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7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400,000,000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$ 400,000,000.00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$ 55,240.00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4" w:name="MaxAggtOfferingPrice"/>
            <w:bookmarkEnd w:id="34"/>
            <w:r>
              <w:rPr/>
              <w:t xml:space="preserve">$ 400,000,000.00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$ 55,240.00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$ 16,927.26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$ 38,312.74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8"/>
        <w:gridCol w:w="8710"/>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(2) On November 30, 2020, the registrant filed an Automatic Shelf Registration Statement on Form S-3ASR (File No. 333-251022) (the "Original Registration Statement") and on March 4, 2022, the registrant filed a prospectus supplement, which registered the offer and sale of up to $400,000,000 of shares of the registrant's common stock (the "Original ATM Prospectus") under the terms of an Open Market Sale Agreement (the "Sales Agreement") with Jefferies LLC. On November 24, 2023, the registrant filed an Automatic Shelf Registration Statement on Form S-3ASR (File No. 333-275740) (the "Current Registration Statement") and paid a registration fee of $7,615 which was filed for $138,689,870 of securities that may be issued or sold pursuant to the Original ATM Prospectus. On February 26, 2024, the registrant filed a prospectus supplement which registered the offer and sale of up to $375,727,167 of shares of the registrant's common stock (the "Previous ATM Prospectus"), including $25,727,167 of securities that remained unsold under the Original ATM Prospectus (the "Prior Unsold Securities"), pursuant to an amendment to the Sales Agreement to sell an additional $350,000,000 of shares of the registrant's common stock. In connection with the filing of the Previous ATM Prospectus, the registrant paid a registration fee of $51,660 which was filed for $350,000,000 of shares of the registrations common stock and included a $3,797 carry forward of registration fees previous paid for the $25,727,167 of Prior Unsold Securities. As of the date of this Prospectus, we have sold $261,043,517 pursuant to the Previous ATM Prospectus and $114,683,350 of shares remain unsold (the "Current Unsold Securities") under the Previous ATM Prospectus. In connection with a second amendment to the Sales Agreement, we are registering the offer and sale of $400,000,000 of shares which comprises $114,683,350 of the Current Unsold Securities and an additional $285,316,650 of shares that may be issued or sold pursuant to this Prospectus. (3) In accordance with Rules 456(b) and 457(r) under the Securities Act of 1933, as amended, except with respect to the $38,312.74 to be paid in connection with the primary offering of common stock described in the table, which is being paid with the filing of this registration statement, the registrant is deferring payment of all registration fees and will pay the registration fees subsequently in advance or on a "pay-as-you-go" basis.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697" w:type="dxa"/>
        <w:jc w:val="left"/>
        <w:tblInd w:w="0" w:type="dxa"/>
        <w:tblLayout w:type="fixed"/>
        <w:tblCellMar>
          <w:top w:w="28" w:type="dxa"/>
          <w:left w:w="28" w:type="dxa"/>
          <w:bottom w:w="28" w:type="dxa"/>
          <w:right w:w="28" w:type="dxa"/>
        </w:tblCellMar>
      </w:tblPr>
      <w:tblGrid>
        <w:gridCol w:w="871"/>
        <w:gridCol w:w="226"/>
        <w:gridCol w:w="1381"/>
        <w:gridCol w:w="691"/>
        <w:gridCol w:w="961"/>
        <w:gridCol w:w="706"/>
        <w:gridCol w:w="691"/>
        <w:gridCol w:w="1246"/>
        <w:gridCol w:w="1246"/>
        <w:gridCol w:w="1186"/>
        <w:gridCol w:w="130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38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30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69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69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381" w:type="dxa"/>
            <w:tcBorders/>
            <w:shd w:fill="E7E7E2" w:val="clear"/>
            <w:vAlign w:val="center"/>
          </w:tcPr>
          <w:p>
            <w:pPr>
              <w:pStyle w:val="TableContents"/>
              <w:bidi w:val="0"/>
              <w:spacing w:before="0" w:after="283"/>
              <w:jc w:val="left"/>
              <w:rPr/>
            </w:pPr>
            <w:r>
              <w:rPr/>
              <w:t xml:space="preserve">Intellia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333-275740 </w:t>
            </w:r>
          </w:p>
        </w:tc>
        <w:tc>
          <w:tcPr>
            <w:tcW w:w="706" w:type="dxa"/>
            <w:tcBorders/>
            <w:shd w:fill="E7E7E2" w:val="clear"/>
            <w:vAlign w:val="center"/>
          </w:tcPr>
          <w:p>
            <w:pPr>
              <w:pStyle w:val="TableContents"/>
              <w:bidi w:val="0"/>
              <w:spacing w:before="0" w:after="283"/>
              <w:jc w:val="left"/>
              <w:rPr/>
            </w:pPr>
            <w:r>
              <w:rPr/>
              <w:t xml:space="preserve">11/24/2023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$ 16,927.26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right"/>
              <w:rPr/>
            </w:pPr>
            <w:r>
              <w:rPr/>
              <w:t xml:space="preserve">114,683,350 </w:t>
            </w:r>
          </w:p>
        </w:tc>
        <w:tc>
          <w:tcPr>
            <w:tcW w:w="1786" w:type="dxa"/>
            <w:tcBorders/>
            <w:shd w:fill="E7E7E2" w:val="clear"/>
            <w:vAlign w:val="center"/>
          </w:tcPr>
          <w:p>
            <w:pPr>
              <w:pStyle w:val="TableContents"/>
              <w:bidi w:val="0"/>
              <w:spacing w:before="0" w:after="283"/>
              <w:jc w:val="right"/>
              <w:rPr/>
            </w:pPr>
            <w:r>
              <w:rPr/>
              <w:t xml:space="preserve">$ 114,683,350.00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pPr>
            <w:r>
              <w:rPr/>
              <w:t xml:space="preserve">Intellia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333-275740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02/26/2024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$ 16,927.26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5"/>
        <w:gridCol w:w="8705"/>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See Note (3) under Table 1 above. Pursuant to Rule 457(p) under the Securities Act, the registrant hereby applies $16,927.26 of the registration fee previously paid in connection with the Current Registration Statement in connection with the Current Unsold Securities to offset the registration fees that are payable in connection with the registration of securities on this Prospectus. Pursuant to Rule 457(p) under the Securities Act, the offering of the Unsold Securities under the Current Registration Statement will be deemed terminated as of the date of effectiveness of this Prospectus.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$400,000,000.00.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52130/000119312526076550/ntla-20251231.htm" TargetMode="External"/><Relationship Id="rId4" Type="http://schemas.openxmlformats.org/officeDocument/2006/relationships/hyperlink" Target="http://www.sec.gov/Archives/edgar/data/../../../ix?doc=/Archives/edgar/data/0001652130/000119312526008307/d15047d8k.htm" TargetMode="External"/><Relationship Id="rId5" Type="http://schemas.openxmlformats.org/officeDocument/2006/relationships/hyperlink" Target="http://www.sec.gov/Archives/edgar/data/../../../ix?doc=/Archives/edgar/data/1652130/000119312526023387/d29201d8k.htm" TargetMode="External"/><Relationship Id="rId6" Type="http://schemas.openxmlformats.org/officeDocument/2006/relationships/hyperlink" Target="http://www.sec.gov/Archives/edgar/data/../../../ix?doc=/Archives/edgar/data/1652130/000119312526073456/ntla-20260226.htm" TargetMode="External"/><Relationship Id="rId7" Type="http://schemas.openxmlformats.org/officeDocument/2006/relationships/hyperlink" Target="http://www.sec.gov/Archives/edgar/data/../../../ix?doc=/Archives/edgar/data/1652130/000119312526084309/d101756d8k.htm" TargetMode="External"/><Relationship Id="rId8" Type="http://schemas.openxmlformats.org/officeDocument/2006/relationships/hyperlink" Target="http://www.sec.gov/Archives/edgar/data/1652130/000119312516578765/d191152d8a12b.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1652130/000095017023004097/ntla-20221231.htm" TargetMode="External"/><Relationship Id="rId11" Type="http://schemas.openxmlformats.org/officeDocument/2006/relationships/hyperlink" Target="http://www.sec.gov/Archives/edgar/data/../../../ix?doc=/Archives/edgar/data/1652130/000095017023016262/ntla-20230428.htm" TargetMode="External"/><Relationship Id="rId12" Type="http://schemas.openxmlformats.org/officeDocument/2006/relationships/hyperlink" Target="http://www.sec.gov/Archives/edgar/data/../../../ix?doc=/Archives/edgar/data/1652130/000095017023017866/ntla-20230331.htm" TargetMode="External"/><Relationship Id="rId13" Type="http://schemas.openxmlformats.org/officeDocument/2006/relationships/hyperlink" Target="http://www.sec.gov/Archives/edgar/data/../../../ix?doc=/Archives/edgar/data/1652130/000095017023037996/ntla-20230630.htm" TargetMode="External"/><Relationship Id="rId14" Type="http://schemas.openxmlformats.org/officeDocument/2006/relationships/hyperlink" Target="http://www.sec.gov/Archives/edgar/data/../../../ix?doc=/Archives/edgar/data/1652130/000095017023062011/ntla-20230930.htm" TargetMode="External"/><Relationship Id="rId15" Type="http://schemas.openxmlformats.org/officeDocument/2006/relationships/hyperlink" Target="http://www.sec.gov/Archives/edgar/data/../../../ix?doc=/Archives/edgar/data/1652130/000095017023000179/ntla-20230105.htm" TargetMode="External"/><Relationship Id="rId16" Type="http://schemas.openxmlformats.org/officeDocument/2006/relationships/hyperlink" Target="http://www.sec.gov/Archives/edgar/data/../../../ix?doc=/Archives/edgar/data/1652130/000119312523057278/d639599d8k.htm" TargetMode="External"/><Relationship Id="rId17" Type="http://schemas.openxmlformats.org/officeDocument/2006/relationships/hyperlink" Target="http://www.sec.gov/Archives/edgar/data/../../../ix?doc=/Archives/edgar/data/1652130/000119312523078511/d480012d8k.htm" TargetMode="External"/><Relationship Id="rId18" Type="http://schemas.openxmlformats.org/officeDocument/2006/relationships/hyperlink" Target="http://www.sec.gov/Archives/edgar/data/../../../ix?doc=/Archives/edgar/data/1652130/000119312523103787/d485270d8k.htm" TargetMode="External"/><Relationship Id="rId19" Type="http://schemas.openxmlformats.org/officeDocument/2006/relationships/hyperlink" Target="http://www.sec.gov/Archives/edgar/data/../../../ix?doc=/Archives/edgar/data/1652130/000119312523160779/d516011d8k.htm" TargetMode="External"/><Relationship Id="rId20" Type="http://schemas.openxmlformats.org/officeDocument/2006/relationships/hyperlink" Target="http://www.sec.gov/Archives/edgar/data/../../../ix?doc=/Archives/edgar/data/1652130/000119312523164890/d517852d8k.htm" TargetMode="External"/><Relationship Id="rId21" Type="http://schemas.openxmlformats.org/officeDocument/2006/relationships/hyperlink" Target="http://www.sec.gov/Archives/edgar/data/../../../ix?doc=/Archives/edgar/data/1652130/000095017023028611/ntla-20230614.htm" TargetMode="External"/><Relationship Id="rId22" Type="http://schemas.openxmlformats.org/officeDocument/2006/relationships/hyperlink" Target="http://www.sec.gov/Archives/edgar/data/../../../ix?doc=/Archives/edgar/data/1652130/000119312523249487/d556975d8k.htm" TargetMode="External"/><Relationship Id="rId23" Type="http://schemas.openxmlformats.org/officeDocument/2006/relationships/hyperlink" Target="http://www.sec.gov/Archives/edgar/data/../../../ix?doc=/Archives/edgar/data/1652130/000119312523258063/d570255d8k.htm" TargetMode="External"/><Relationship Id="rId24" Type="http://schemas.openxmlformats.org/officeDocument/2006/relationships/hyperlink" Target="http://www.sec.gov/Archives/edgar/data/../../../ix?doc=/Archives/edgar/data/1652130/000119312523268816/d536006d8k.htm" TargetMode="External"/><Relationship Id="rId25" Type="http://schemas.openxmlformats.org/officeDocument/2006/relationships/hyperlink" Target="http://www.sec.gov/Archives/edgar/data/1652130/000156459020007409/ntla-ex44_526.htm" TargetMode="External"/><Relationship Id="rId26" Type="http://schemas.openxmlformats.org/officeDocument/2006/relationships/hyperlink" Target="http://www.sec.gov/Archives/edgar/data/../../../ix?doc=/Archives/edgar/data/1652130/000156459020007409/ntla-10k_20191231.htm" TargetMode="External"/><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30805</Words>
  <Characters>164002</Characters>
  <CharactersWithSpaces>195523</CharactersWithSpaces>
  <Paragraphs>2337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