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As filed with the Securities and Exchange Commission on February 27, 2020</w:t>
      </w:r>
    </w:p>
    <w:p>
      <w:pPr>
        <w:spacing w:after="0" w:line="219" w:lineRule="exact"/>
        <w:rPr>
          <w:sz w:val="24"/>
          <w:szCs w:val="24"/>
          <w:color w:val="auto"/>
        </w:rPr>
      </w:pPr>
    </w:p>
    <w:p>
      <w:pPr>
        <w:ind w:left="9340"/>
        <w:spacing w:after="0"/>
        <w:rPr>
          <w:sz w:val="20"/>
          <w:szCs w:val="20"/>
          <w:color w:val="auto"/>
        </w:rPr>
      </w:pPr>
      <w:r>
        <w:rPr>
          <w:rFonts w:ascii="Arial" w:cs="Arial" w:eastAsia="Arial" w:hAnsi="Arial"/>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208280</wp:posOffset>
            </wp:positionV>
            <wp:extent cx="72523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33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268605</wp:posOffset>
            </wp:positionV>
            <wp:extent cx="72523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S-8</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REGISTRATION STATEMENT</w:t>
      </w:r>
    </w:p>
    <w:p>
      <w:pPr>
        <w:jc w:val="center"/>
        <w:spacing w:after="0" w:line="231" w:lineRule="auto"/>
        <w:rPr>
          <w:sz w:val="20"/>
          <w:szCs w:val="20"/>
          <w:color w:val="auto"/>
        </w:rPr>
      </w:pPr>
      <w:r>
        <w:rPr>
          <w:rFonts w:ascii="Arial" w:cs="Arial" w:eastAsia="Arial" w:hAnsi="Arial"/>
          <w:sz w:val="21"/>
          <w:szCs w:val="21"/>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276860</wp:posOffset>
            </wp:positionV>
            <wp:extent cx="72523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Intellia Therapeutics, Inc.</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72523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9300" w:type="dxa"/>
            <w:vAlign w:val="bottom"/>
          </w:tcPr>
          <w:p>
            <w:pPr>
              <w:jc w:val="center"/>
              <w:ind w:right="3320"/>
              <w:spacing w:after="0"/>
              <w:rPr>
                <w:sz w:val="20"/>
                <w:szCs w:val="20"/>
                <w:color w:val="auto"/>
              </w:rPr>
            </w:pPr>
            <w:r>
              <w:rPr>
                <w:rFonts w:ascii="Arial" w:cs="Arial" w:eastAsia="Arial" w:hAnsi="Arial"/>
                <w:sz w:val="17"/>
                <w:szCs w:val="17"/>
                <w:b w:val="1"/>
                <w:bCs w:val="1"/>
                <w:color w:val="auto"/>
                <w:w w:val="93"/>
              </w:rPr>
              <w:t>Delaware</w:t>
            </w:r>
          </w:p>
        </w:tc>
        <w:tc>
          <w:tcPr>
            <w:tcW w:w="2120" w:type="dxa"/>
            <w:vAlign w:val="bottom"/>
          </w:tcPr>
          <w:p>
            <w:pPr>
              <w:jc w:val="center"/>
              <w:ind w:right="605"/>
              <w:spacing w:after="0"/>
              <w:rPr>
                <w:sz w:val="20"/>
                <w:szCs w:val="20"/>
                <w:color w:val="auto"/>
              </w:rPr>
            </w:pPr>
            <w:r>
              <w:rPr>
                <w:rFonts w:ascii="Arial" w:cs="Arial" w:eastAsia="Arial" w:hAnsi="Arial"/>
                <w:sz w:val="17"/>
                <w:szCs w:val="17"/>
                <w:b w:val="1"/>
                <w:bCs w:val="1"/>
                <w:color w:val="auto"/>
                <w:w w:val="92"/>
              </w:rPr>
              <w:t>36-4785571</w:t>
            </w:r>
          </w:p>
        </w:tc>
      </w:tr>
      <w:tr>
        <w:trPr>
          <w:trHeight w:val="143"/>
        </w:trPr>
        <w:tc>
          <w:tcPr>
            <w:tcW w:w="9300" w:type="dxa"/>
            <w:vAlign w:val="bottom"/>
          </w:tcPr>
          <w:p>
            <w:pPr>
              <w:jc w:val="center"/>
              <w:ind w:right="3340"/>
              <w:spacing w:after="0" w:line="143" w:lineRule="exact"/>
              <w:rPr>
                <w:sz w:val="20"/>
                <w:szCs w:val="20"/>
                <w:color w:val="auto"/>
              </w:rPr>
            </w:pPr>
            <w:r>
              <w:rPr>
                <w:rFonts w:ascii="Arial" w:cs="Arial" w:eastAsia="Arial" w:hAnsi="Arial"/>
                <w:sz w:val="14"/>
                <w:szCs w:val="14"/>
                <w:b w:val="1"/>
                <w:bCs w:val="1"/>
                <w:color w:val="auto"/>
                <w:w w:val="89"/>
              </w:rPr>
              <w:t>(State or other jurisdiction of</w:t>
            </w:r>
          </w:p>
        </w:tc>
        <w:tc>
          <w:tcPr>
            <w:tcW w:w="2120" w:type="dxa"/>
            <w:vAlign w:val="bottom"/>
          </w:tcPr>
          <w:p>
            <w:pPr>
              <w:jc w:val="center"/>
              <w:ind w:right="605"/>
              <w:spacing w:after="0" w:line="143" w:lineRule="exact"/>
              <w:rPr>
                <w:sz w:val="20"/>
                <w:szCs w:val="20"/>
                <w:color w:val="auto"/>
              </w:rPr>
            </w:pPr>
            <w:r>
              <w:rPr>
                <w:rFonts w:ascii="Arial" w:cs="Arial" w:eastAsia="Arial" w:hAnsi="Arial"/>
                <w:sz w:val="14"/>
                <w:szCs w:val="14"/>
                <w:b w:val="1"/>
                <w:bCs w:val="1"/>
                <w:color w:val="auto"/>
                <w:w w:val="93"/>
              </w:rPr>
              <w:t>(I.R.S. Employer</w:t>
            </w:r>
          </w:p>
        </w:tc>
      </w:tr>
      <w:tr>
        <w:trPr>
          <w:trHeight w:val="179"/>
        </w:trPr>
        <w:tc>
          <w:tcPr>
            <w:tcW w:w="9300" w:type="dxa"/>
            <w:vAlign w:val="bottom"/>
          </w:tcPr>
          <w:p>
            <w:pPr>
              <w:jc w:val="center"/>
              <w:ind w:right="3340"/>
              <w:spacing w:after="0"/>
              <w:rPr>
                <w:sz w:val="20"/>
                <w:szCs w:val="20"/>
                <w:color w:val="auto"/>
              </w:rPr>
            </w:pPr>
            <w:r>
              <w:rPr>
                <w:rFonts w:ascii="Arial" w:cs="Arial" w:eastAsia="Arial" w:hAnsi="Arial"/>
                <w:sz w:val="14"/>
                <w:szCs w:val="14"/>
                <w:b w:val="1"/>
                <w:bCs w:val="1"/>
                <w:color w:val="auto"/>
                <w:w w:val="90"/>
              </w:rPr>
              <w:t>incorporation or organization)</w:t>
            </w:r>
          </w:p>
        </w:tc>
        <w:tc>
          <w:tcPr>
            <w:tcW w:w="2120" w:type="dxa"/>
            <w:vAlign w:val="bottom"/>
          </w:tcPr>
          <w:p>
            <w:pPr>
              <w:jc w:val="center"/>
              <w:ind w:right="605"/>
              <w:spacing w:after="0"/>
              <w:rPr>
                <w:sz w:val="20"/>
                <w:szCs w:val="20"/>
                <w:color w:val="auto"/>
              </w:rPr>
            </w:pPr>
            <w:r>
              <w:rPr>
                <w:rFonts w:ascii="Arial" w:cs="Arial" w:eastAsia="Arial" w:hAnsi="Arial"/>
                <w:sz w:val="14"/>
                <w:szCs w:val="14"/>
                <w:b w:val="1"/>
                <w:bCs w:val="1"/>
                <w:color w:val="auto"/>
                <w:w w:val="91"/>
              </w:rPr>
              <w:t>Identification No.)</w:t>
            </w:r>
          </w:p>
        </w:tc>
      </w:tr>
      <w:tr>
        <w:trPr>
          <w:trHeight w:val="395"/>
        </w:trPr>
        <w:tc>
          <w:tcPr>
            <w:tcW w:w="9300" w:type="dxa"/>
            <w:vAlign w:val="bottom"/>
          </w:tcPr>
          <w:p>
            <w:pPr>
              <w:ind w:left="4740"/>
              <w:spacing w:after="0"/>
              <w:rPr>
                <w:sz w:val="20"/>
                <w:szCs w:val="20"/>
                <w:color w:val="auto"/>
              </w:rPr>
            </w:pPr>
            <w:r>
              <w:rPr>
                <w:rFonts w:ascii="Arial" w:cs="Arial" w:eastAsia="Arial" w:hAnsi="Arial"/>
                <w:sz w:val="17"/>
                <w:szCs w:val="17"/>
                <w:b w:val="1"/>
                <w:bCs w:val="1"/>
                <w:color w:val="auto"/>
              </w:rPr>
              <w:t>40 Erie Street, Suite 130</w:t>
            </w:r>
          </w:p>
        </w:tc>
        <w:tc>
          <w:tcPr>
            <w:tcW w:w="2120" w:type="dxa"/>
            <w:vAlign w:val="bottom"/>
          </w:tcPr>
          <w:p>
            <w:pPr>
              <w:spacing w:after="0"/>
              <w:rPr>
                <w:sz w:val="24"/>
                <w:szCs w:val="24"/>
                <w:color w:val="auto"/>
              </w:rPr>
            </w:pPr>
          </w:p>
        </w:tc>
      </w:tr>
      <w:tr>
        <w:trPr>
          <w:trHeight w:val="203"/>
        </w:trPr>
        <w:tc>
          <w:tcPr>
            <w:tcW w:w="9300" w:type="dxa"/>
            <w:vAlign w:val="bottom"/>
          </w:tcPr>
          <w:p>
            <w:pPr>
              <w:jc w:val="center"/>
              <w:ind w:left="2040"/>
              <w:spacing w:after="0"/>
              <w:rPr>
                <w:sz w:val="20"/>
                <w:szCs w:val="20"/>
                <w:color w:val="auto"/>
              </w:rPr>
            </w:pPr>
            <w:r>
              <w:rPr>
                <w:rFonts w:ascii="Arial" w:cs="Arial" w:eastAsia="Arial" w:hAnsi="Arial"/>
                <w:sz w:val="17"/>
                <w:szCs w:val="17"/>
                <w:b w:val="1"/>
                <w:bCs w:val="1"/>
                <w:color w:val="auto"/>
                <w:w w:val="90"/>
              </w:rPr>
              <w:t>Cambridge, Massachusetts (857) 285-6200</w:t>
            </w:r>
          </w:p>
        </w:tc>
        <w:tc>
          <w:tcPr>
            <w:tcW w:w="2120" w:type="dxa"/>
            <w:vAlign w:val="bottom"/>
          </w:tcPr>
          <w:p>
            <w:pPr>
              <w:spacing w:after="0"/>
              <w:rPr>
                <w:sz w:val="17"/>
                <w:szCs w:val="17"/>
                <w:color w:val="auto"/>
              </w:rPr>
            </w:pPr>
          </w:p>
        </w:tc>
      </w:tr>
      <w:tr>
        <w:trPr>
          <w:trHeight w:val="179"/>
        </w:trPr>
        <w:tc>
          <w:tcPr>
            <w:tcW w:w="9300" w:type="dxa"/>
            <w:vAlign w:val="bottom"/>
          </w:tcPr>
          <w:p>
            <w:pPr>
              <w:jc w:val="center"/>
              <w:ind w:left="2040"/>
              <w:spacing w:after="0"/>
              <w:rPr>
                <w:sz w:val="20"/>
                <w:szCs w:val="20"/>
                <w:color w:val="auto"/>
              </w:rPr>
            </w:pPr>
            <w:r>
              <w:rPr>
                <w:rFonts w:ascii="Arial" w:cs="Arial" w:eastAsia="Arial" w:hAnsi="Arial"/>
                <w:sz w:val="14"/>
                <w:szCs w:val="14"/>
                <w:b w:val="1"/>
                <w:bCs w:val="1"/>
                <w:color w:val="auto"/>
                <w:w w:val="87"/>
              </w:rPr>
              <w:t>(Address, including zip code and telephone number, including area code, of Registrant’s principal executive offices)</w:t>
            </w:r>
          </w:p>
        </w:tc>
        <w:tc>
          <w:tcPr>
            <w:tcW w:w="2120" w:type="dxa"/>
            <w:vAlign w:val="bottom"/>
          </w:tcPr>
          <w:p>
            <w:pPr>
              <w:spacing w:after="0"/>
              <w:rPr>
                <w:sz w:val="15"/>
                <w:szCs w:val="15"/>
                <w:color w:val="auto"/>
              </w:rPr>
            </w:pPr>
          </w:p>
        </w:tc>
      </w:tr>
      <w:tr>
        <w:trPr>
          <w:trHeight w:val="595"/>
        </w:trPr>
        <w:tc>
          <w:tcPr>
            <w:tcW w:w="9300" w:type="dxa"/>
            <w:vAlign w:val="bottom"/>
          </w:tcPr>
          <w:p>
            <w:pPr>
              <w:jc w:val="center"/>
              <w:ind w:left="2040"/>
              <w:spacing w:after="0"/>
              <w:rPr>
                <w:sz w:val="20"/>
                <w:szCs w:val="20"/>
                <w:color w:val="auto"/>
              </w:rPr>
            </w:pPr>
            <w:r>
              <w:rPr>
                <w:rFonts w:ascii="Arial" w:cs="Arial" w:eastAsia="Arial" w:hAnsi="Arial"/>
                <w:sz w:val="17"/>
                <w:szCs w:val="17"/>
                <w:b w:val="1"/>
                <w:bCs w:val="1"/>
                <w:color w:val="auto"/>
                <w:w w:val="92"/>
              </w:rPr>
              <w:t>Intellia Therapeutics, Inc. 2015 Amended and Restated Stock Option and Incentive Plan</w:t>
            </w:r>
          </w:p>
        </w:tc>
        <w:tc>
          <w:tcPr>
            <w:tcW w:w="2120" w:type="dxa"/>
            <w:vAlign w:val="bottom"/>
          </w:tcPr>
          <w:p>
            <w:pPr>
              <w:spacing w:after="0"/>
              <w:rPr>
                <w:sz w:val="24"/>
                <w:szCs w:val="24"/>
                <w:color w:val="auto"/>
              </w:rPr>
            </w:pPr>
          </w:p>
        </w:tc>
      </w:tr>
      <w:tr>
        <w:trPr>
          <w:trHeight w:val="168"/>
        </w:trPr>
        <w:tc>
          <w:tcPr>
            <w:tcW w:w="9300" w:type="dxa"/>
            <w:vAlign w:val="bottom"/>
          </w:tcPr>
          <w:p>
            <w:pPr>
              <w:jc w:val="center"/>
              <w:ind w:left="2040"/>
              <w:spacing w:after="0"/>
              <w:rPr>
                <w:sz w:val="20"/>
                <w:szCs w:val="20"/>
                <w:color w:val="auto"/>
              </w:rPr>
            </w:pPr>
            <w:r>
              <w:rPr>
                <w:rFonts w:ascii="Arial" w:cs="Arial" w:eastAsia="Arial" w:hAnsi="Arial"/>
                <w:sz w:val="13"/>
                <w:szCs w:val="13"/>
                <w:b w:val="1"/>
                <w:bCs w:val="1"/>
                <w:color w:val="auto"/>
                <w:w w:val="92"/>
              </w:rPr>
              <w:t>(Full title of the plan)</w:t>
            </w:r>
          </w:p>
        </w:tc>
        <w:tc>
          <w:tcPr>
            <w:tcW w:w="2120" w:type="dxa"/>
            <w:vAlign w:val="bottom"/>
          </w:tcPr>
          <w:p>
            <w:pPr>
              <w:spacing w:after="0"/>
              <w:rPr>
                <w:sz w:val="14"/>
                <w:szCs w:val="14"/>
                <w:color w:val="auto"/>
              </w:rPr>
            </w:pPr>
          </w:p>
        </w:tc>
      </w:tr>
      <w:tr>
        <w:trPr>
          <w:trHeight w:val="234"/>
        </w:trPr>
        <w:tc>
          <w:tcPr>
            <w:tcW w:w="93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r>
      <w:tr>
        <w:trPr>
          <w:trHeight w:val="415"/>
        </w:trPr>
        <w:tc>
          <w:tcPr>
            <w:tcW w:w="9300" w:type="dxa"/>
            <w:vAlign w:val="bottom"/>
          </w:tcPr>
          <w:p>
            <w:pPr>
              <w:jc w:val="center"/>
              <w:ind w:left="2040"/>
              <w:spacing w:after="0"/>
              <w:rPr>
                <w:sz w:val="20"/>
                <w:szCs w:val="20"/>
                <w:color w:val="auto"/>
              </w:rPr>
            </w:pPr>
            <w:r>
              <w:rPr>
                <w:rFonts w:ascii="Arial" w:cs="Arial" w:eastAsia="Arial" w:hAnsi="Arial"/>
                <w:sz w:val="17"/>
                <w:szCs w:val="17"/>
                <w:b w:val="1"/>
                <w:bCs w:val="1"/>
                <w:color w:val="auto"/>
                <w:w w:val="95"/>
              </w:rPr>
              <w:t>John Leonard, M.D.</w:t>
            </w:r>
          </w:p>
        </w:tc>
        <w:tc>
          <w:tcPr>
            <w:tcW w:w="2120" w:type="dxa"/>
            <w:vAlign w:val="bottom"/>
          </w:tcPr>
          <w:p>
            <w:pPr>
              <w:spacing w:after="0"/>
              <w:rPr>
                <w:sz w:val="24"/>
                <w:szCs w:val="24"/>
                <w:color w:val="auto"/>
              </w:rPr>
            </w:pPr>
          </w:p>
        </w:tc>
      </w:tr>
      <w:tr>
        <w:trPr>
          <w:trHeight w:val="207"/>
        </w:trPr>
        <w:tc>
          <w:tcPr>
            <w:tcW w:w="9300" w:type="dxa"/>
            <w:vAlign w:val="bottom"/>
          </w:tcPr>
          <w:p>
            <w:pPr>
              <w:jc w:val="center"/>
              <w:ind w:left="2060"/>
              <w:spacing w:after="0"/>
              <w:rPr>
                <w:sz w:val="20"/>
                <w:szCs w:val="20"/>
                <w:color w:val="auto"/>
              </w:rPr>
            </w:pPr>
            <w:r>
              <w:rPr>
                <w:rFonts w:ascii="Arial" w:cs="Arial" w:eastAsia="Arial" w:hAnsi="Arial"/>
                <w:sz w:val="17"/>
                <w:szCs w:val="17"/>
                <w:b w:val="1"/>
                <w:bCs w:val="1"/>
                <w:color w:val="auto"/>
                <w:w w:val="92"/>
              </w:rPr>
              <w:t>President and Chief Executive Officer</w:t>
            </w:r>
          </w:p>
        </w:tc>
        <w:tc>
          <w:tcPr>
            <w:tcW w:w="2120" w:type="dxa"/>
            <w:vAlign w:val="bottom"/>
          </w:tcPr>
          <w:p>
            <w:pPr>
              <w:spacing w:after="0"/>
              <w:rPr>
                <w:sz w:val="18"/>
                <w:szCs w:val="18"/>
                <w:color w:val="auto"/>
              </w:rPr>
            </w:pPr>
          </w:p>
        </w:tc>
      </w:tr>
      <w:tr>
        <w:trPr>
          <w:trHeight w:val="207"/>
        </w:trPr>
        <w:tc>
          <w:tcPr>
            <w:tcW w:w="9300" w:type="dxa"/>
            <w:vAlign w:val="bottom"/>
          </w:tcPr>
          <w:p>
            <w:pPr>
              <w:ind w:left="4740"/>
              <w:spacing w:after="0"/>
              <w:rPr>
                <w:sz w:val="20"/>
                <w:szCs w:val="20"/>
                <w:color w:val="auto"/>
              </w:rPr>
            </w:pPr>
            <w:r>
              <w:rPr>
                <w:rFonts w:ascii="Arial" w:cs="Arial" w:eastAsia="Arial" w:hAnsi="Arial"/>
                <w:sz w:val="17"/>
                <w:szCs w:val="17"/>
                <w:b w:val="1"/>
                <w:bCs w:val="1"/>
                <w:color w:val="auto"/>
              </w:rPr>
              <w:t>40 Erie Street, Suite 130</w:t>
            </w:r>
          </w:p>
        </w:tc>
        <w:tc>
          <w:tcPr>
            <w:tcW w:w="2120" w:type="dxa"/>
            <w:vAlign w:val="bottom"/>
          </w:tcPr>
          <w:p>
            <w:pPr>
              <w:spacing w:after="0"/>
              <w:rPr>
                <w:sz w:val="18"/>
                <w:szCs w:val="18"/>
                <w:color w:val="auto"/>
              </w:rPr>
            </w:pPr>
          </w:p>
        </w:tc>
      </w:tr>
      <w:tr>
        <w:trPr>
          <w:trHeight w:val="207"/>
        </w:trPr>
        <w:tc>
          <w:tcPr>
            <w:tcW w:w="9300" w:type="dxa"/>
            <w:vAlign w:val="bottom"/>
          </w:tcPr>
          <w:p>
            <w:pPr>
              <w:ind w:left="4700"/>
              <w:spacing w:after="0"/>
              <w:rPr>
                <w:sz w:val="20"/>
                <w:szCs w:val="20"/>
                <w:color w:val="auto"/>
              </w:rPr>
            </w:pPr>
            <w:r>
              <w:rPr>
                <w:rFonts w:ascii="Arial" w:cs="Arial" w:eastAsia="Arial" w:hAnsi="Arial"/>
                <w:sz w:val="17"/>
                <w:szCs w:val="17"/>
                <w:b w:val="1"/>
                <w:bCs w:val="1"/>
                <w:color w:val="auto"/>
              </w:rPr>
              <w:t>Cambridge, Massachusetts</w:t>
            </w:r>
          </w:p>
        </w:tc>
        <w:tc>
          <w:tcPr>
            <w:tcW w:w="2120" w:type="dxa"/>
            <w:vAlign w:val="bottom"/>
          </w:tcPr>
          <w:p>
            <w:pPr>
              <w:spacing w:after="0"/>
              <w:rPr>
                <w:sz w:val="18"/>
                <w:szCs w:val="18"/>
                <w:color w:val="auto"/>
              </w:rPr>
            </w:pPr>
          </w:p>
        </w:tc>
      </w:tr>
      <w:tr>
        <w:trPr>
          <w:trHeight w:val="203"/>
        </w:trPr>
        <w:tc>
          <w:tcPr>
            <w:tcW w:w="9300" w:type="dxa"/>
            <w:vAlign w:val="bottom"/>
          </w:tcPr>
          <w:p>
            <w:pPr>
              <w:jc w:val="center"/>
              <w:ind w:left="2060"/>
              <w:spacing w:after="0"/>
              <w:rPr>
                <w:sz w:val="20"/>
                <w:szCs w:val="20"/>
                <w:color w:val="auto"/>
              </w:rPr>
            </w:pPr>
            <w:r>
              <w:rPr>
                <w:rFonts w:ascii="Arial" w:cs="Arial" w:eastAsia="Arial" w:hAnsi="Arial"/>
                <w:sz w:val="17"/>
                <w:szCs w:val="17"/>
                <w:b w:val="1"/>
                <w:bCs w:val="1"/>
                <w:color w:val="auto"/>
                <w:w w:val="92"/>
              </w:rPr>
              <w:t>(857) 285-6200</w:t>
            </w:r>
          </w:p>
        </w:tc>
        <w:tc>
          <w:tcPr>
            <w:tcW w:w="2120" w:type="dxa"/>
            <w:vAlign w:val="bottom"/>
          </w:tcPr>
          <w:p>
            <w:pPr>
              <w:spacing w:after="0"/>
              <w:rPr>
                <w:sz w:val="17"/>
                <w:szCs w:val="17"/>
                <w:color w:val="auto"/>
              </w:rPr>
            </w:pPr>
          </w:p>
        </w:tc>
      </w:tr>
      <w:tr>
        <w:trPr>
          <w:trHeight w:val="179"/>
        </w:trPr>
        <w:tc>
          <w:tcPr>
            <w:tcW w:w="9300" w:type="dxa"/>
            <w:vAlign w:val="bottom"/>
          </w:tcPr>
          <w:p>
            <w:pPr>
              <w:jc w:val="center"/>
              <w:ind w:left="2060"/>
              <w:spacing w:after="0"/>
              <w:rPr>
                <w:sz w:val="20"/>
                <w:szCs w:val="20"/>
                <w:color w:val="auto"/>
              </w:rPr>
            </w:pPr>
            <w:r>
              <w:rPr>
                <w:rFonts w:ascii="Arial" w:cs="Arial" w:eastAsia="Arial" w:hAnsi="Arial"/>
                <w:sz w:val="14"/>
                <w:szCs w:val="14"/>
                <w:b w:val="1"/>
                <w:bCs w:val="1"/>
                <w:color w:val="auto"/>
                <w:w w:val="87"/>
              </w:rPr>
              <w:t>(Name, address, including zip code, and telephone number, including area code, of agent for service)</w:t>
            </w:r>
          </w:p>
        </w:tc>
        <w:tc>
          <w:tcPr>
            <w:tcW w:w="21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221615</wp:posOffset>
            </wp:positionV>
            <wp:extent cx="72523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7"/>
          <w:szCs w:val="17"/>
          <w:b w:val="1"/>
          <w:bCs w:val="1"/>
          <w:i w:val="1"/>
          <w:iCs w:val="1"/>
          <w:color w:val="auto"/>
        </w:rPr>
        <w:t>Copies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537845</wp:posOffset>
            </wp:positionV>
            <wp:extent cx="729424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bookmarkStart w:id="1" w:name="page2"/>
    <w:bookmarkEnd w:id="1"/>
    <w:tbl>
      <w:tblPr>
        <w:tblLayout w:type="fixed"/>
        <w:tblInd w:w="1220" w:type="dxa"/>
        <w:tblCellMar>
          <w:top w:w="0" w:type="dxa"/>
          <w:left w:w="0" w:type="dxa"/>
          <w:bottom w:w="0" w:type="dxa"/>
          <w:right w:w="0" w:type="dxa"/>
        </w:tblCellMar>
      </w:tblPr>
      <w:tr>
        <w:trPr>
          <w:trHeight w:val="207"/>
        </w:trPr>
        <w:tc>
          <w:tcPr>
            <w:tcW w:w="3700" w:type="dxa"/>
            <w:vAlign w:val="bottom"/>
          </w:tcPr>
          <w:p>
            <w:pPr>
              <w:jc w:val="center"/>
              <w:ind w:right="1474"/>
              <w:spacing w:after="0"/>
              <w:rPr>
                <w:sz w:val="20"/>
                <w:szCs w:val="20"/>
                <w:color w:val="auto"/>
              </w:rPr>
            </w:pPr>
            <w:r>
              <w:rPr>
                <w:rFonts w:ascii="Arial" w:cs="Arial" w:eastAsia="Arial" w:hAnsi="Arial"/>
                <w:sz w:val="17"/>
                <w:szCs w:val="17"/>
                <w:b w:val="1"/>
                <w:bCs w:val="1"/>
                <w:color w:val="auto"/>
                <w:w w:val="96"/>
              </w:rPr>
              <w:t>Arthur R. McGivern, Esq.</w:t>
            </w:r>
          </w:p>
        </w:tc>
        <w:tc>
          <w:tcPr>
            <w:tcW w:w="4700" w:type="dxa"/>
            <w:vAlign w:val="bottom"/>
          </w:tcPr>
          <w:p>
            <w:pPr>
              <w:jc w:val="center"/>
              <w:ind w:left="1474"/>
              <w:spacing w:after="0"/>
              <w:rPr>
                <w:sz w:val="20"/>
                <w:szCs w:val="20"/>
                <w:color w:val="auto"/>
              </w:rPr>
            </w:pPr>
            <w:r>
              <w:rPr>
                <w:rFonts w:ascii="Arial" w:cs="Arial" w:eastAsia="Arial" w:hAnsi="Arial"/>
                <w:sz w:val="17"/>
                <w:szCs w:val="17"/>
                <w:b w:val="1"/>
                <w:bCs w:val="1"/>
                <w:color w:val="auto"/>
                <w:w w:val="90"/>
              </w:rPr>
              <w:t>José E. Rivera, Esq.</w:t>
            </w:r>
          </w:p>
        </w:tc>
      </w:tr>
      <w:tr>
        <w:trPr>
          <w:trHeight w:val="207"/>
        </w:trPr>
        <w:tc>
          <w:tcPr>
            <w:tcW w:w="3700" w:type="dxa"/>
            <w:vAlign w:val="bottom"/>
          </w:tcPr>
          <w:p>
            <w:pPr>
              <w:jc w:val="center"/>
              <w:ind w:right="1474"/>
              <w:spacing w:after="0"/>
              <w:rPr>
                <w:sz w:val="20"/>
                <w:szCs w:val="20"/>
                <w:color w:val="auto"/>
              </w:rPr>
            </w:pPr>
            <w:r>
              <w:rPr>
                <w:rFonts w:ascii="Arial" w:cs="Arial" w:eastAsia="Arial" w:hAnsi="Arial"/>
                <w:sz w:val="17"/>
                <w:szCs w:val="17"/>
                <w:b w:val="1"/>
                <w:bCs w:val="1"/>
                <w:color w:val="auto"/>
                <w:w w:val="94"/>
              </w:rPr>
              <w:t>William D. Collins, Esq.</w:t>
            </w:r>
          </w:p>
        </w:tc>
        <w:tc>
          <w:tcPr>
            <w:tcW w:w="4700" w:type="dxa"/>
            <w:vAlign w:val="bottom"/>
          </w:tcPr>
          <w:p>
            <w:pPr>
              <w:jc w:val="center"/>
              <w:ind w:left="1474"/>
              <w:spacing w:after="0"/>
              <w:rPr>
                <w:sz w:val="20"/>
                <w:szCs w:val="20"/>
                <w:color w:val="auto"/>
              </w:rPr>
            </w:pPr>
            <w:r>
              <w:rPr>
                <w:rFonts w:ascii="Arial" w:cs="Arial" w:eastAsia="Arial" w:hAnsi="Arial"/>
                <w:sz w:val="17"/>
                <w:szCs w:val="17"/>
                <w:b w:val="1"/>
                <w:bCs w:val="1"/>
                <w:color w:val="auto"/>
                <w:w w:val="90"/>
              </w:rPr>
              <w:t>Executive Vice President, General Counsel</w:t>
            </w:r>
          </w:p>
        </w:tc>
      </w:tr>
      <w:tr>
        <w:trPr>
          <w:trHeight w:val="207"/>
        </w:trPr>
        <w:tc>
          <w:tcPr>
            <w:tcW w:w="3700" w:type="dxa"/>
            <w:vAlign w:val="bottom"/>
          </w:tcPr>
          <w:p>
            <w:pPr>
              <w:jc w:val="center"/>
              <w:ind w:right="1494"/>
              <w:spacing w:after="0"/>
              <w:rPr>
                <w:sz w:val="20"/>
                <w:szCs w:val="20"/>
                <w:color w:val="auto"/>
              </w:rPr>
            </w:pPr>
            <w:r>
              <w:rPr>
                <w:rFonts w:ascii="Arial" w:cs="Arial" w:eastAsia="Arial" w:hAnsi="Arial"/>
                <w:sz w:val="17"/>
                <w:szCs w:val="17"/>
                <w:b w:val="1"/>
                <w:bCs w:val="1"/>
                <w:color w:val="auto"/>
                <w:w w:val="94"/>
              </w:rPr>
              <w:t>Goodwin Procter LLP</w:t>
            </w:r>
          </w:p>
        </w:tc>
        <w:tc>
          <w:tcPr>
            <w:tcW w:w="4700" w:type="dxa"/>
            <w:vAlign w:val="bottom"/>
          </w:tcPr>
          <w:p>
            <w:pPr>
              <w:jc w:val="center"/>
              <w:ind w:left="1474"/>
              <w:spacing w:after="0"/>
              <w:rPr>
                <w:sz w:val="20"/>
                <w:szCs w:val="20"/>
                <w:color w:val="auto"/>
              </w:rPr>
            </w:pPr>
            <w:r>
              <w:rPr>
                <w:rFonts w:ascii="Arial" w:cs="Arial" w:eastAsia="Arial" w:hAnsi="Arial"/>
                <w:sz w:val="17"/>
                <w:szCs w:val="17"/>
                <w:b w:val="1"/>
                <w:bCs w:val="1"/>
                <w:color w:val="auto"/>
                <w:w w:val="93"/>
              </w:rPr>
              <w:t>Intellia Therapeutics, Inc.</w:t>
            </w:r>
          </w:p>
        </w:tc>
      </w:tr>
      <w:tr>
        <w:trPr>
          <w:trHeight w:val="207"/>
        </w:trPr>
        <w:tc>
          <w:tcPr>
            <w:tcW w:w="3700" w:type="dxa"/>
            <w:vAlign w:val="bottom"/>
          </w:tcPr>
          <w:p>
            <w:pPr>
              <w:jc w:val="center"/>
              <w:ind w:right="1494"/>
              <w:spacing w:after="0"/>
              <w:rPr>
                <w:sz w:val="20"/>
                <w:szCs w:val="20"/>
                <w:color w:val="auto"/>
              </w:rPr>
            </w:pPr>
            <w:r>
              <w:rPr>
                <w:rFonts w:ascii="Arial" w:cs="Arial" w:eastAsia="Arial" w:hAnsi="Arial"/>
                <w:sz w:val="17"/>
                <w:szCs w:val="17"/>
                <w:b w:val="1"/>
                <w:bCs w:val="1"/>
                <w:color w:val="auto"/>
                <w:w w:val="93"/>
              </w:rPr>
              <w:t>100 Northern Ave.</w:t>
            </w:r>
          </w:p>
        </w:tc>
        <w:tc>
          <w:tcPr>
            <w:tcW w:w="4700" w:type="dxa"/>
            <w:vAlign w:val="bottom"/>
          </w:tcPr>
          <w:p>
            <w:pPr>
              <w:ind w:left="2160"/>
              <w:spacing w:after="0"/>
              <w:rPr>
                <w:sz w:val="20"/>
                <w:szCs w:val="20"/>
                <w:color w:val="auto"/>
              </w:rPr>
            </w:pPr>
            <w:r>
              <w:rPr>
                <w:rFonts w:ascii="Arial" w:cs="Arial" w:eastAsia="Arial" w:hAnsi="Arial"/>
                <w:sz w:val="17"/>
                <w:szCs w:val="17"/>
                <w:b w:val="1"/>
                <w:bCs w:val="1"/>
                <w:color w:val="auto"/>
              </w:rPr>
              <w:t>40 Erie Street, Suite 130</w:t>
            </w:r>
          </w:p>
        </w:tc>
      </w:tr>
      <w:tr>
        <w:trPr>
          <w:trHeight w:val="207"/>
        </w:trPr>
        <w:tc>
          <w:tcPr>
            <w:tcW w:w="3700" w:type="dxa"/>
            <w:vAlign w:val="bottom"/>
          </w:tcPr>
          <w:p>
            <w:pPr>
              <w:jc w:val="center"/>
              <w:ind w:right="1474"/>
              <w:spacing w:after="0"/>
              <w:rPr>
                <w:sz w:val="20"/>
                <w:szCs w:val="20"/>
                <w:color w:val="auto"/>
              </w:rPr>
            </w:pPr>
            <w:r>
              <w:rPr>
                <w:rFonts w:ascii="Arial" w:cs="Arial" w:eastAsia="Arial" w:hAnsi="Arial"/>
                <w:sz w:val="17"/>
                <w:szCs w:val="17"/>
                <w:b w:val="1"/>
                <w:bCs w:val="1"/>
                <w:color w:val="auto"/>
                <w:w w:val="88"/>
              </w:rPr>
              <w:t>Boston, Massachusetts 02210</w:t>
            </w:r>
          </w:p>
        </w:tc>
        <w:tc>
          <w:tcPr>
            <w:tcW w:w="4700" w:type="dxa"/>
            <w:vAlign w:val="bottom"/>
          </w:tcPr>
          <w:p>
            <w:pPr>
              <w:jc w:val="center"/>
              <w:ind w:left="1474"/>
              <w:spacing w:after="0"/>
              <w:rPr>
                <w:sz w:val="20"/>
                <w:szCs w:val="20"/>
                <w:color w:val="auto"/>
              </w:rPr>
            </w:pPr>
            <w:r>
              <w:rPr>
                <w:rFonts w:ascii="Arial" w:cs="Arial" w:eastAsia="Arial" w:hAnsi="Arial"/>
                <w:sz w:val="17"/>
                <w:szCs w:val="17"/>
                <w:b w:val="1"/>
                <w:bCs w:val="1"/>
                <w:color w:val="auto"/>
                <w:w w:val="89"/>
              </w:rPr>
              <w:t>Cambridge, Massachusetts</w:t>
            </w:r>
          </w:p>
        </w:tc>
      </w:tr>
      <w:tr>
        <w:trPr>
          <w:trHeight w:val="226"/>
        </w:trPr>
        <w:tc>
          <w:tcPr>
            <w:tcW w:w="3700" w:type="dxa"/>
            <w:vAlign w:val="bottom"/>
          </w:tcPr>
          <w:p>
            <w:pPr>
              <w:jc w:val="center"/>
              <w:ind w:right="1494"/>
              <w:spacing w:after="0"/>
              <w:rPr>
                <w:sz w:val="20"/>
                <w:szCs w:val="20"/>
                <w:color w:val="auto"/>
              </w:rPr>
            </w:pPr>
            <w:r>
              <w:rPr>
                <w:rFonts w:ascii="Arial" w:cs="Arial" w:eastAsia="Arial" w:hAnsi="Arial"/>
                <w:sz w:val="17"/>
                <w:szCs w:val="17"/>
                <w:b w:val="1"/>
                <w:bCs w:val="1"/>
                <w:color w:val="auto"/>
                <w:w w:val="92"/>
              </w:rPr>
              <w:t>(617) 570-1000</w:t>
            </w:r>
          </w:p>
        </w:tc>
        <w:tc>
          <w:tcPr>
            <w:tcW w:w="4700" w:type="dxa"/>
            <w:vAlign w:val="bottom"/>
          </w:tcPr>
          <w:p>
            <w:pPr>
              <w:jc w:val="center"/>
              <w:ind w:left="1454"/>
              <w:spacing w:after="0"/>
              <w:rPr>
                <w:sz w:val="20"/>
                <w:szCs w:val="20"/>
                <w:color w:val="auto"/>
              </w:rPr>
            </w:pPr>
            <w:r>
              <w:rPr>
                <w:rFonts w:ascii="Arial" w:cs="Arial" w:eastAsia="Arial" w:hAnsi="Arial"/>
                <w:sz w:val="17"/>
                <w:szCs w:val="17"/>
                <w:b w:val="1"/>
                <w:bCs w:val="1"/>
                <w:color w:val="auto"/>
                <w:w w:val="92"/>
              </w:rPr>
              <w:t>(857) 285-6200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288290</wp:posOffset>
            </wp:positionV>
            <wp:extent cx="7252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57" w:lineRule="exact"/>
        <w:rPr>
          <w:sz w:val="20"/>
          <w:szCs w:val="20"/>
          <w:color w:val="auto"/>
        </w:rPr>
      </w:pPr>
    </w:p>
    <w:tbl>
      <w:tblPr>
        <w:tblLayout w:type="fixed"/>
        <w:tblInd w:w="240" w:type="dxa"/>
        <w:tblCellMar>
          <w:top w:w="0" w:type="dxa"/>
          <w:left w:w="0" w:type="dxa"/>
          <w:bottom w:w="0" w:type="dxa"/>
          <w:right w:w="0" w:type="dxa"/>
        </w:tblCellMar>
      </w:tblPr>
      <w:tr>
        <w:trPr>
          <w:trHeight w:val="270"/>
        </w:trPr>
        <w:tc>
          <w:tcPr>
            <w:tcW w:w="240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280" w:type="dxa"/>
            <w:vAlign w:val="bottom"/>
          </w:tcPr>
          <w:p>
            <w:pPr>
              <w:ind w:left="500"/>
              <w:spacing w:after="0" w:line="171" w:lineRule="exact"/>
              <w:rPr>
                <w:sz w:val="20"/>
                <w:szCs w:val="20"/>
                <w:color w:val="auto"/>
              </w:rPr>
            </w:pPr>
            <w:r>
              <w:rPr>
                <w:rFonts w:ascii="MS PGothic" w:cs="MS PGothic" w:eastAsia="MS PGothic" w:hAnsi="MS PGothic"/>
                <w:sz w:val="17"/>
                <w:szCs w:val="17"/>
                <w:color w:val="auto"/>
              </w:rPr>
              <w:t>☒</w:t>
            </w:r>
          </w:p>
        </w:tc>
        <w:tc>
          <w:tcPr>
            <w:tcW w:w="4800" w:type="dxa"/>
            <w:vAlign w:val="bottom"/>
          </w:tcPr>
          <w:p>
            <w:pPr>
              <w:ind w:left="2620"/>
              <w:spacing w:after="0"/>
              <w:rPr>
                <w:sz w:val="20"/>
                <w:szCs w:val="20"/>
                <w:color w:val="auto"/>
              </w:rPr>
            </w:pPr>
            <w:r>
              <w:rPr>
                <w:rFonts w:ascii="Arial" w:cs="Arial" w:eastAsia="Arial" w:hAnsi="Arial"/>
                <w:sz w:val="17"/>
                <w:szCs w:val="17"/>
                <w:color w:val="auto"/>
              </w:rPr>
              <w:t>Accelerated filer</w:t>
            </w:r>
          </w:p>
        </w:tc>
        <w:tc>
          <w:tcPr>
            <w:tcW w:w="440" w:type="dxa"/>
            <w:vAlign w:val="bottom"/>
          </w:tcPr>
          <w:p>
            <w:pPr>
              <w:ind w:left="2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415"/>
        </w:trPr>
        <w:tc>
          <w:tcPr>
            <w:tcW w:w="2400" w:type="dxa"/>
            <w:vAlign w:val="bottom"/>
          </w:tcPr>
          <w:p>
            <w:pPr>
              <w:spacing w:after="0"/>
              <w:rPr>
                <w:sz w:val="20"/>
                <w:szCs w:val="20"/>
                <w:color w:val="auto"/>
              </w:rPr>
            </w:pPr>
            <w:r>
              <w:rPr>
                <w:rFonts w:ascii="Arial" w:cs="Arial" w:eastAsia="Arial" w:hAnsi="Arial"/>
                <w:sz w:val="17"/>
                <w:szCs w:val="17"/>
                <w:color w:val="auto"/>
              </w:rPr>
              <w:t>Non-accelerated filer</w:t>
            </w:r>
          </w:p>
        </w:tc>
        <w:tc>
          <w:tcPr>
            <w:tcW w:w="3280" w:type="dxa"/>
            <w:vAlign w:val="bottom"/>
          </w:tcPr>
          <w:p>
            <w:pPr>
              <w:ind w:left="500"/>
              <w:spacing w:after="0" w:line="171" w:lineRule="exact"/>
              <w:rPr>
                <w:sz w:val="20"/>
                <w:szCs w:val="20"/>
                <w:color w:val="auto"/>
              </w:rPr>
            </w:pPr>
            <w:r>
              <w:rPr>
                <w:rFonts w:ascii="MS PGothic" w:cs="MS PGothic" w:eastAsia="MS PGothic" w:hAnsi="MS PGothic"/>
                <w:sz w:val="17"/>
                <w:szCs w:val="17"/>
                <w:color w:val="auto"/>
              </w:rPr>
              <w:t>☐</w:t>
            </w:r>
          </w:p>
        </w:tc>
        <w:tc>
          <w:tcPr>
            <w:tcW w:w="4800" w:type="dxa"/>
            <w:vAlign w:val="bottom"/>
          </w:tcPr>
          <w:p>
            <w:pPr>
              <w:ind w:left="2620"/>
              <w:spacing w:after="0"/>
              <w:rPr>
                <w:sz w:val="20"/>
                <w:szCs w:val="20"/>
                <w:color w:val="auto"/>
              </w:rPr>
            </w:pPr>
            <w:r>
              <w:rPr>
                <w:rFonts w:ascii="Arial" w:cs="Arial" w:eastAsia="Arial" w:hAnsi="Arial"/>
                <w:sz w:val="17"/>
                <w:szCs w:val="17"/>
                <w:color w:val="auto"/>
              </w:rPr>
              <w:t>Smaller reporting company</w:t>
            </w:r>
          </w:p>
        </w:tc>
        <w:tc>
          <w:tcPr>
            <w:tcW w:w="440" w:type="dxa"/>
            <w:vAlign w:val="bottom"/>
          </w:tcPr>
          <w:p>
            <w:pPr>
              <w:ind w:left="2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415"/>
        </w:trPr>
        <w:tc>
          <w:tcPr>
            <w:tcW w:w="240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3280" w:type="dxa"/>
            <w:vAlign w:val="bottom"/>
          </w:tcPr>
          <w:p>
            <w:pPr>
              <w:ind w:left="500"/>
              <w:spacing w:after="0" w:line="171" w:lineRule="exact"/>
              <w:rPr>
                <w:sz w:val="20"/>
                <w:szCs w:val="20"/>
                <w:color w:val="auto"/>
              </w:rPr>
            </w:pPr>
            <w:r>
              <w:rPr>
                <w:rFonts w:ascii="MS PGothic" w:cs="MS PGothic" w:eastAsia="MS PGothic" w:hAnsi="MS PGothic"/>
                <w:sz w:val="17"/>
                <w:szCs w:val="17"/>
                <w:color w:val="auto"/>
              </w:rPr>
              <w:t>☐</w:t>
            </w:r>
          </w:p>
        </w:tc>
        <w:tc>
          <w:tcPr>
            <w:tcW w:w="48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257" w:lineRule="exact"/>
        <w:rPr>
          <w:sz w:val="20"/>
          <w:szCs w:val="20"/>
          <w:color w:val="auto"/>
        </w:rPr>
      </w:pPr>
    </w:p>
    <w:p>
      <w:pPr>
        <w:ind w:right="600"/>
        <w:spacing w:after="0" w:line="21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146050</wp:posOffset>
            </wp:positionV>
            <wp:extent cx="7252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CALCULATION OF REGISTRATION FEE</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700" w:type="dxa"/>
            <w:vAlign w:val="bottom"/>
            <w:tcBorders>
              <w:top w:val="single" w:sz="8" w:color="auto"/>
              <w:bottom w:val="single" w:sz="8" w:color="auto"/>
            </w:tcBorders>
          </w:tcPr>
          <w:p>
            <w:pPr>
              <w:spacing w:after="0"/>
              <w:rPr>
                <w:sz w:val="3"/>
                <w:szCs w:val="3"/>
                <w:color w:val="auto"/>
              </w:rPr>
            </w:pPr>
          </w:p>
        </w:tc>
        <w:tc>
          <w:tcPr>
            <w:tcW w:w="256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tcBorders>
          </w:tcPr>
          <w:p>
            <w:pPr>
              <w:spacing w:after="0"/>
              <w:rPr>
                <w:sz w:val="3"/>
                <w:szCs w:val="3"/>
                <w:color w:val="auto"/>
              </w:rPr>
            </w:pPr>
          </w:p>
        </w:tc>
      </w:tr>
      <w:tr>
        <w:trPr>
          <w:trHeight w:val="109"/>
        </w:trPr>
        <w:tc>
          <w:tcPr>
            <w:tcW w:w="4700" w:type="dxa"/>
            <w:vAlign w:val="bottom"/>
            <w:tcBorders>
              <w:right w:val="single" w:sz="8" w:color="auto"/>
            </w:tcBorders>
          </w:tcPr>
          <w:p>
            <w:pPr>
              <w:spacing w:after="0"/>
              <w:rPr>
                <w:sz w:val="9"/>
                <w:szCs w:val="9"/>
                <w:color w:val="auto"/>
              </w:rPr>
            </w:pPr>
          </w:p>
        </w:tc>
        <w:tc>
          <w:tcPr>
            <w:tcW w:w="256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2"/>
                <w:szCs w:val="12"/>
                <w:b w:val="1"/>
                <w:bCs w:val="1"/>
                <w:color w:val="auto"/>
                <w:w w:val="93"/>
              </w:rPr>
              <w:t>Proposed</w:t>
            </w:r>
          </w:p>
        </w:tc>
        <w:tc>
          <w:tcPr>
            <w:tcW w:w="164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2"/>
                <w:szCs w:val="12"/>
                <w:b w:val="1"/>
                <w:bCs w:val="1"/>
                <w:color w:val="auto"/>
                <w:w w:val="93"/>
              </w:rPr>
              <w:t>Proposed</w:t>
            </w:r>
          </w:p>
        </w:tc>
        <w:tc>
          <w:tcPr>
            <w:tcW w:w="1260" w:type="dxa"/>
            <w:vAlign w:val="bottom"/>
          </w:tcPr>
          <w:p>
            <w:pPr>
              <w:spacing w:after="0"/>
              <w:rPr>
                <w:sz w:val="9"/>
                <w:szCs w:val="9"/>
                <w:color w:val="auto"/>
              </w:rPr>
            </w:pPr>
          </w:p>
        </w:tc>
      </w:tr>
      <w:tr>
        <w:trPr>
          <w:trHeight w:val="143"/>
        </w:trPr>
        <w:tc>
          <w:tcPr>
            <w:tcW w:w="4700" w:type="dxa"/>
            <w:vAlign w:val="bottom"/>
            <w:tcBorders>
              <w:right w:val="single" w:sz="8" w:color="auto"/>
            </w:tcBorders>
          </w:tcPr>
          <w:p>
            <w:pPr>
              <w:spacing w:after="0"/>
              <w:rPr>
                <w:sz w:val="12"/>
                <w:szCs w:val="12"/>
                <w:color w:val="auto"/>
              </w:rPr>
            </w:pPr>
          </w:p>
        </w:tc>
        <w:tc>
          <w:tcPr>
            <w:tcW w:w="256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93"/>
              </w:rPr>
              <w:t>Amount</w:t>
            </w:r>
          </w:p>
        </w:tc>
        <w:tc>
          <w:tcPr>
            <w:tcW w:w="126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92"/>
              </w:rPr>
              <w:t>maximum</w:t>
            </w:r>
          </w:p>
        </w:tc>
        <w:tc>
          <w:tcPr>
            <w:tcW w:w="164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92"/>
              </w:rPr>
              <w:t>maximum</w:t>
            </w:r>
          </w:p>
        </w:tc>
        <w:tc>
          <w:tcPr>
            <w:tcW w:w="1260" w:type="dxa"/>
            <w:vAlign w:val="bottom"/>
          </w:tcPr>
          <w:p>
            <w:pPr>
              <w:spacing w:after="0"/>
              <w:rPr>
                <w:sz w:val="12"/>
                <w:szCs w:val="12"/>
                <w:color w:val="auto"/>
              </w:rPr>
            </w:pPr>
          </w:p>
        </w:tc>
      </w:tr>
      <w:tr>
        <w:trPr>
          <w:trHeight w:val="143"/>
        </w:trPr>
        <w:tc>
          <w:tcPr>
            <w:tcW w:w="470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9"/>
              </w:rPr>
              <w:t>Title of securities</w:t>
            </w:r>
          </w:p>
        </w:tc>
        <w:tc>
          <w:tcPr>
            <w:tcW w:w="256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3"/>
              </w:rPr>
              <w:t>to be</w:t>
            </w:r>
          </w:p>
        </w:tc>
        <w:tc>
          <w:tcPr>
            <w:tcW w:w="126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91"/>
              </w:rPr>
              <w:t>offering price</w:t>
            </w:r>
          </w:p>
        </w:tc>
        <w:tc>
          <w:tcPr>
            <w:tcW w:w="164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6"/>
              </w:rPr>
              <w:t>aggregate</w:t>
            </w:r>
          </w:p>
        </w:tc>
        <w:tc>
          <w:tcPr>
            <w:tcW w:w="12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2"/>
              </w:rPr>
              <w:t>Amount of</w:t>
            </w:r>
          </w:p>
        </w:tc>
      </w:tr>
      <w:tr>
        <w:trPr>
          <w:trHeight w:val="155"/>
        </w:trPr>
        <w:tc>
          <w:tcPr>
            <w:tcW w:w="4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to be registered</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registered(1)</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per share</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offering price</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registration fee</w:t>
            </w:r>
          </w:p>
        </w:tc>
      </w:tr>
      <w:tr>
        <w:trPr>
          <w:trHeight w:val="200"/>
        </w:trPr>
        <w:tc>
          <w:tcPr>
            <w:tcW w:w="4700" w:type="dxa"/>
            <w:vAlign w:val="bottom"/>
            <w:tcBorders>
              <w:bottom w:val="single" w:sz="8" w:color="auto"/>
              <w:right w:val="single" w:sz="8" w:color="auto"/>
            </w:tcBorders>
          </w:tcPr>
          <w:p>
            <w:pPr>
              <w:spacing w:after="0"/>
              <w:rPr>
                <w:sz w:val="17"/>
                <w:szCs w:val="17"/>
                <w:color w:val="auto"/>
              </w:rPr>
            </w:pPr>
          </w:p>
        </w:tc>
        <w:tc>
          <w:tcPr>
            <w:tcW w:w="25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88"/>
        </w:trPr>
        <w:tc>
          <w:tcPr>
            <w:tcW w:w="4700" w:type="dxa"/>
            <w:vAlign w:val="bottom"/>
            <w:tcBorders>
              <w:right w:val="single" w:sz="8" w:color="auto"/>
            </w:tcBorders>
          </w:tcPr>
          <w:p>
            <w:pPr>
              <w:spacing w:after="0" w:line="188" w:lineRule="exact"/>
              <w:rPr>
                <w:sz w:val="20"/>
                <w:szCs w:val="20"/>
                <w:color w:val="auto"/>
              </w:rPr>
            </w:pPr>
            <w:r>
              <w:rPr>
                <w:rFonts w:ascii="Arial" w:cs="Arial" w:eastAsia="Arial" w:hAnsi="Arial"/>
                <w:sz w:val="17"/>
                <w:szCs w:val="17"/>
                <w:color w:val="auto"/>
                <w:w w:val="91"/>
              </w:rPr>
              <w:t>Common Stock, $0.0001 par value per share, reserved for issuance</w:t>
            </w:r>
          </w:p>
        </w:tc>
        <w:tc>
          <w:tcPr>
            <w:tcW w:w="25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r>
      <w:tr>
        <w:trPr>
          <w:trHeight w:val="207"/>
        </w:trPr>
        <w:tc>
          <w:tcPr>
            <w:tcW w:w="4700" w:type="dxa"/>
            <w:vAlign w:val="bottom"/>
            <w:tcBorders>
              <w:right w:val="single" w:sz="8" w:color="auto"/>
            </w:tcBorders>
          </w:tcPr>
          <w:p>
            <w:pPr>
              <w:ind w:left="220"/>
              <w:spacing w:after="0"/>
              <w:rPr>
                <w:sz w:val="20"/>
                <w:szCs w:val="20"/>
                <w:color w:val="auto"/>
              </w:rPr>
            </w:pPr>
            <w:r>
              <w:rPr>
                <w:rFonts w:ascii="Arial" w:cs="Arial" w:eastAsia="Arial" w:hAnsi="Arial"/>
                <w:sz w:val="17"/>
                <w:szCs w:val="17"/>
                <w:color w:val="auto"/>
              </w:rPr>
              <w:t>pursuant to the Intellia Therapeutics, Inc. Amended and</w:t>
            </w:r>
          </w:p>
        </w:tc>
        <w:tc>
          <w:tcPr>
            <w:tcW w:w="25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1260" w:type="dxa"/>
            <w:vAlign w:val="bottom"/>
          </w:tcPr>
          <w:p>
            <w:pPr>
              <w:spacing w:after="0"/>
              <w:rPr>
                <w:sz w:val="18"/>
                <w:szCs w:val="18"/>
                <w:color w:val="auto"/>
              </w:rPr>
            </w:pPr>
          </w:p>
        </w:tc>
      </w:tr>
      <w:tr>
        <w:trPr>
          <w:trHeight w:val="220"/>
        </w:trPr>
        <w:tc>
          <w:tcPr>
            <w:tcW w:w="47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7"/>
                <w:szCs w:val="17"/>
                <w:color w:val="auto"/>
              </w:rPr>
              <w:t>Restated 2015 Stock Option and Incentive Plan</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2,007,922 shares (2)</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$12.44 (3)</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$24,978,549.68 (3)</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$3,242.22</w:t>
            </w: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jc w:val="both"/>
        <w:ind w:left="460" w:right="140" w:hanging="456"/>
        <w:spacing w:after="0" w:line="269"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 accordance with Rule 416 under the Securities Act of 1933, as amended, this registration statement shall be deemed to cover any additional securities that may from time to time be offered or issued to prevent dilution resulting from stock splits, stock dividends or similar transactions effected without the receipt of consideration which results in an increase in the number of our outstanding shares of common stock.</w:t>
      </w:r>
    </w:p>
    <w:p>
      <w:pPr>
        <w:spacing w:after="0" w:line="379" w:lineRule="exact"/>
        <w:rPr>
          <w:rFonts w:ascii="Arial" w:cs="Arial" w:eastAsia="Arial" w:hAnsi="Arial"/>
          <w:sz w:val="17"/>
          <w:szCs w:val="17"/>
          <w:color w:val="auto"/>
        </w:rPr>
      </w:pPr>
    </w:p>
    <w:p>
      <w:pPr>
        <w:ind w:left="460" w:right="140" w:hanging="456"/>
        <w:spacing w:after="0" w:line="321" w:lineRule="auto"/>
        <w:tabs>
          <w:tab w:leader="none" w:pos="46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Represents an automatic increase to the number of shares available for issuance under the Amended and Restated 2015 Stock Option and Incentive Plan (the “2015 Plan”). Shares available for issuance under the 2015 Plan were previously registered on registration statements on Form S-8 filed with the Securities and Exchange Commission on May 6, 2016 (File No. 333-21200), June 5, 2017 (File No. 333-218511) and February 27, 2019 (File No. 333-229900).</w:t>
      </w:r>
    </w:p>
    <w:p>
      <w:pPr>
        <w:spacing w:after="0" w:line="344" w:lineRule="exact"/>
        <w:rPr>
          <w:rFonts w:ascii="Arial" w:cs="Arial" w:eastAsia="Arial" w:hAnsi="Arial"/>
          <w:sz w:val="15"/>
          <w:szCs w:val="15"/>
          <w:color w:val="auto"/>
        </w:rPr>
      </w:pPr>
    </w:p>
    <w:p>
      <w:pPr>
        <w:ind w:left="460" w:right="180" w:hanging="456"/>
        <w:spacing w:after="0" w:line="269"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registration fee pursuant to Rules 457(c) and 457(h) of the Securities Act of 1933, as amended. The price per share and aggregate offering price are calculated on the basis of $12.44, the average of the high and low price of the registrant’s Common Stock as reported on the NASDAQ Global Market on February 25,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578485</wp:posOffset>
            </wp:positionV>
            <wp:extent cx="72523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2335"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1166495</wp:posOffset>
            </wp:positionV>
            <wp:extent cx="729424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Statement of Incorporation by Reference</w:t>
      </w:r>
    </w:p>
    <w:p>
      <w:pPr>
        <w:spacing w:after="0" w:line="316" w:lineRule="exact"/>
        <w:rPr>
          <w:sz w:val="20"/>
          <w:szCs w:val="20"/>
          <w:color w:val="auto"/>
        </w:rPr>
      </w:pPr>
    </w:p>
    <w:p>
      <w:pPr>
        <w:ind w:right="40"/>
        <w:spacing w:after="0" w:line="264" w:lineRule="auto"/>
        <w:rPr>
          <w:rFonts w:ascii="Arial" w:cs="Arial" w:eastAsia="Arial" w:hAnsi="Arial"/>
          <w:sz w:val="17"/>
          <w:szCs w:val="17"/>
          <w:color w:val="auto"/>
        </w:rPr>
      </w:pPr>
      <w:r>
        <w:rPr>
          <w:rFonts w:ascii="Arial" w:cs="Arial" w:eastAsia="Arial" w:hAnsi="Arial"/>
          <w:sz w:val="17"/>
          <w:szCs w:val="17"/>
          <w:color w:val="auto"/>
        </w:rPr>
        <w:t xml:space="preserve">This Registration Statement on Form S-8 is filed to register the offer and sale of an additional 2,007,922 shares of the Registrant’s common stock, $0.0001 par value per share, to be issued under the Registrant’s Amended and Restated 2015 Stock Option and Incentive Plan. This Registration Statement incorporates by reference the contents of the registration statement on </w:t>
      </w:r>
      <w:hyperlink r:id="rId18">
        <w:r>
          <w:rPr>
            <w:rFonts w:ascii="Arial" w:cs="Arial" w:eastAsia="Arial" w:hAnsi="Arial"/>
            <w:sz w:val="17"/>
            <w:szCs w:val="17"/>
            <w:u w:val="single" w:color="auto"/>
            <w:color w:val="0000EE"/>
          </w:rPr>
          <w:t>Form S-8, File No. 333-211200, filed by the Registrant on May 6, 2016</w:t>
        </w:r>
      </w:hyperlink>
      <w:r>
        <w:rPr>
          <w:rFonts w:ascii="Arial" w:cs="Arial" w:eastAsia="Arial" w:hAnsi="Arial"/>
          <w:sz w:val="17"/>
          <w:szCs w:val="17"/>
          <w:color w:val="auto"/>
        </w:rPr>
        <w:t>, and the registration relating to the Registrant’s Amended and Restated 2015 Stock Option pursuant to General Instruction E.</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Required in the Registration Statement</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color w:val="auto"/>
        </w:rPr>
        <w:t>Item 8.</w:t>
      </w:r>
      <w:r>
        <w:rPr>
          <w:sz w:val="20"/>
          <w:szCs w:val="20"/>
          <w:color w:val="auto"/>
        </w:rPr>
        <w:tab/>
      </w:r>
      <w:r>
        <w:rPr>
          <w:rFonts w:ascii="Arial" w:cs="Arial" w:eastAsia="Arial" w:hAnsi="Arial"/>
          <w:sz w:val="16"/>
          <w:szCs w:val="16"/>
          <w:color w:val="auto"/>
        </w:rPr>
        <w:t>Exhibits.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See the Exhibit Index below for a list of exhibits filed as part of this registration statement on Form S-8, which Exhibit Index is incorporated herein by reference.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960" w:type="dxa"/>
            <w:vAlign w:val="bottom"/>
            <w:gridSpan w:val="15"/>
          </w:tcPr>
          <w:p>
            <w:pPr>
              <w:ind w:left="1580"/>
              <w:spacing w:after="0"/>
              <w:rPr>
                <w:sz w:val="20"/>
                <w:szCs w:val="20"/>
                <w:color w:val="auto"/>
              </w:rPr>
            </w:pPr>
            <w:r>
              <w:rPr>
                <w:rFonts w:ascii="Arial" w:cs="Arial" w:eastAsia="Arial" w:hAnsi="Arial"/>
                <w:sz w:val="17"/>
                <w:szCs w:val="17"/>
                <w:b w:val="1"/>
                <w:bCs w:val="1"/>
                <w:color w:val="auto"/>
              </w:rPr>
              <w:t>EXHIBIT INDEX</w:t>
            </w:r>
          </w:p>
        </w:tc>
      </w:tr>
      <w:tr>
        <w:trPr>
          <w:trHeight w:val="622"/>
        </w:trPr>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Number</w:t>
            </w:r>
          </w:p>
        </w:tc>
        <w:tc>
          <w:tcPr>
            <w:tcW w:w="280" w:type="dxa"/>
            <w:vAlign w:val="bottom"/>
          </w:tcPr>
          <w:p>
            <w:pPr>
              <w:spacing w:after="0"/>
              <w:rPr>
                <w:sz w:val="24"/>
                <w:szCs w:val="24"/>
                <w:color w:val="auto"/>
              </w:rPr>
            </w:pPr>
          </w:p>
        </w:tc>
        <w:tc>
          <w:tcPr>
            <w:tcW w:w="10320" w:type="dxa"/>
            <w:vAlign w:val="bottom"/>
            <w:tcBorders>
              <w:bottom w:val="single" w:sz="8" w:color="auto"/>
            </w:tcBorders>
            <w:gridSpan w:val="19"/>
          </w:tcPr>
          <w:p>
            <w:pPr>
              <w:spacing w:after="0"/>
              <w:rPr>
                <w:sz w:val="20"/>
                <w:szCs w:val="20"/>
                <w:color w:val="auto"/>
              </w:rPr>
            </w:pPr>
            <w:r>
              <w:rPr>
                <w:rFonts w:ascii="Arial" w:cs="Arial" w:eastAsia="Arial" w:hAnsi="Arial"/>
                <w:sz w:val="17"/>
                <w:szCs w:val="17"/>
                <w:color w:val="auto"/>
              </w:rPr>
              <w:t>Description</w:t>
            </w:r>
          </w:p>
        </w:tc>
      </w:tr>
      <w:tr>
        <w:trPr>
          <w:trHeight w:val="369"/>
        </w:trPr>
        <w:tc>
          <w:tcPr>
            <w:tcW w:w="820" w:type="dxa"/>
            <w:vAlign w:val="bottom"/>
          </w:tcPr>
          <w:p>
            <w:pPr>
              <w:spacing w:after="0"/>
              <w:rPr>
                <w:sz w:val="20"/>
                <w:szCs w:val="20"/>
                <w:color w:val="auto"/>
              </w:rPr>
            </w:pPr>
            <w:r>
              <w:rPr>
                <w:rFonts w:ascii="Arial" w:cs="Arial" w:eastAsia="Arial" w:hAnsi="Arial"/>
                <w:sz w:val="17"/>
                <w:szCs w:val="17"/>
                <w:color w:val="auto"/>
              </w:rPr>
              <w:t>4.1</w:t>
            </w:r>
          </w:p>
        </w:tc>
        <w:tc>
          <w:tcPr>
            <w:tcW w:w="280" w:type="dxa"/>
            <w:vAlign w:val="bottom"/>
          </w:tcPr>
          <w:p>
            <w:pPr>
              <w:spacing w:after="0"/>
              <w:rPr>
                <w:sz w:val="24"/>
                <w:szCs w:val="24"/>
                <w:color w:val="auto"/>
              </w:rPr>
            </w:pPr>
          </w:p>
        </w:tc>
        <w:tc>
          <w:tcPr>
            <w:tcW w:w="10240" w:type="dxa"/>
            <w:vAlign w:val="bottom"/>
            <w:tcBorders>
              <w:bottom w:val="single" w:sz="8" w:color="0000EE"/>
            </w:tcBorders>
            <w:gridSpan w:val="18"/>
          </w:tcPr>
          <w:p>
            <w:pPr>
              <w:spacing w:after="0"/>
              <w:rPr>
                <w:rFonts w:ascii="Arial" w:cs="Arial" w:eastAsia="Arial" w:hAnsi="Arial"/>
                <w:sz w:val="17"/>
                <w:szCs w:val="17"/>
                <w:color w:val="0000EE"/>
                <w:w w:val="93"/>
              </w:rPr>
            </w:pPr>
            <w:hyperlink r:id="rId19">
              <w:r>
                <w:rPr>
                  <w:rFonts w:ascii="Arial" w:cs="Arial" w:eastAsia="Arial" w:hAnsi="Arial"/>
                  <w:sz w:val="17"/>
                  <w:szCs w:val="17"/>
                  <w:color w:val="0000EE"/>
                  <w:w w:val="93"/>
                </w:rPr>
                <w:t>Form of Common Stock Certificate of the Registrant (incorporated by reference to Exhibit 4.1 of the Registrant’s Current Report on Form 8-K (File</w:t>
              </w:r>
            </w:hyperlink>
          </w:p>
        </w:tc>
        <w:tc>
          <w:tcPr>
            <w:tcW w:w="80" w:type="dxa"/>
            <w:vAlign w:val="bottom"/>
          </w:tcPr>
          <w:p>
            <w:pPr>
              <w:spacing w:after="0"/>
              <w:rPr>
                <w:sz w:val="24"/>
                <w:szCs w:val="24"/>
                <w:color w:val="auto"/>
              </w:rPr>
            </w:pPr>
          </w:p>
        </w:tc>
      </w:tr>
      <w:tr>
        <w:trPr>
          <w:trHeight w:val="187"/>
        </w:trPr>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20" w:type="dxa"/>
            <w:vAlign w:val="bottom"/>
            <w:tcBorders>
              <w:bottom w:val="single" w:sz="8" w:color="0000EE"/>
            </w:tcBorders>
            <w:gridSpan w:val="7"/>
          </w:tcPr>
          <w:p>
            <w:pPr>
              <w:spacing w:after="0" w:line="188" w:lineRule="exact"/>
              <w:rPr>
                <w:rFonts w:ascii="Arial" w:cs="Arial" w:eastAsia="Arial" w:hAnsi="Arial"/>
                <w:sz w:val="17"/>
                <w:szCs w:val="17"/>
                <w:color w:val="0000EE"/>
                <w:w w:val="92"/>
              </w:rPr>
            </w:pPr>
            <w:hyperlink r:id="rId19">
              <w:r>
                <w:rPr>
                  <w:rFonts w:ascii="Arial" w:cs="Arial" w:eastAsia="Arial" w:hAnsi="Arial"/>
                  <w:sz w:val="17"/>
                  <w:szCs w:val="17"/>
                  <w:color w:val="0000EE"/>
                  <w:w w:val="92"/>
                </w:rPr>
                <w:t>No. 001-37766) filed with the Securities and Exchange Commission on May 17, 2016)</w:t>
              </w:r>
            </w:hyperlink>
          </w:p>
        </w:tc>
        <w:tc>
          <w:tcPr>
            <w:tcW w:w="4300" w:type="dxa"/>
            <w:vAlign w:val="bottom"/>
            <w:gridSpan w:val="12"/>
          </w:tcPr>
          <w:p>
            <w:pPr>
              <w:spacing w:after="0"/>
              <w:rPr>
                <w:sz w:val="16"/>
                <w:szCs w:val="16"/>
                <w:color w:val="auto"/>
              </w:rPr>
            </w:pPr>
          </w:p>
        </w:tc>
      </w:tr>
      <w:tr>
        <w:trPr>
          <w:trHeight w:val="187"/>
        </w:trPr>
        <w:tc>
          <w:tcPr>
            <w:tcW w:w="820" w:type="dxa"/>
            <w:vAlign w:val="bottom"/>
          </w:tcPr>
          <w:p>
            <w:pPr>
              <w:spacing w:after="0" w:line="188" w:lineRule="exact"/>
              <w:rPr>
                <w:sz w:val="20"/>
                <w:szCs w:val="20"/>
                <w:color w:val="auto"/>
              </w:rPr>
            </w:pPr>
            <w:r>
              <w:rPr>
                <w:rFonts w:ascii="Arial" w:cs="Arial" w:eastAsia="Arial" w:hAnsi="Arial"/>
                <w:sz w:val="17"/>
                <w:szCs w:val="17"/>
                <w:color w:val="auto"/>
              </w:rPr>
              <w:t>4.2</w:t>
            </w:r>
          </w:p>
        </w:tc>
        <w:tc>
          <w:tcPr>
            <w:tcW w:w="280" w:type="dxa"/>
            <w:vAlign w:val="bottom"/>
          </w:tcPr>
          <w:p>
            <w:pPr>
              <w:spacing w:after="0"/>
              <w:rPr>
                <w:sz w:val="16"/>
                <w:szCs w:val="16"/>
                <w:color w:val="auto"/>
              </w:rPr>
            </w:pPr>
          </w:p>
        </w:tc>
        <w:tc>
          <w:tcPr>
            <w:tcW w:w="10320" w:type="dxa"/>
            <w:vAlign w:val="bottom"/>
            <w:gridSpan w:val="19"/>
          </w:tcPr>
          <w:p>
            <w:pPr>
              <w:spacing w:after="0" w:line="188" w:lineRule="exact"/>
              <w:rPr>
                <w:rFonts w:ascii="Arial" w:cs="Arial" w:eastAsia="Arial" w:hAnsi="Arial"/>
                <w:sz w:val="17"/>
                <w:szCs w:val="17"/>
                <w:color w:val="0000EE"/>
                <w:w w:val="93"/>
              </w:rPr>
            </w:pPr>
            <w:hyperlink r:id="rId20">
              <w:r>
                <w:rPr>
                  <w:rFonts w:ascii="Arial" w:cs="Arial" w:eastAsia="Arial" w:hAnsi="Arial"/>
                  <w:sz w:val="17"/>
                  <w:szCs w:val="17"/>
                  <w:color w:val="0000EE"/>
                  <w:w w:val="93"/>
                </w:rPr>
                <w:t>Second Restated Certificate of Incorporation of the Registrant (incorporated by reference to Exhibit 3.1 of the Registrant’s Current Report on Form</w:t>
              </w:r>
            </w:hyperlink>
          </w:p>
        </w:tc>
      </w:tr>
      <w:tr>
        <w:trPr>
          <w:trHeight w:val="187"/>
        </w:trPr>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700" w:type="dxa"/>
            <w:vAlign w:val="bottom"/>
            <w:tcBorders>
              <w:top w:val="single" w:sz="8" w:color="0000EE"/>
              <w:bottom w:val="single" w:sz="8" w:color="0000EE"/>
            </w:tcBorders>
            <w:gridSpan w:val="10"/>
          </w:tcPr>
          <w:p>
            <w:pPr>
              <w:spacing w:after="0" w:line="188" w:lineRule="exact"/>
              <w:rPr>
                <w:rFonts w:ascii="Arial" w:cs="Arial" w:eastAsia="Arial" w:hAnsi="Arial"/>
                <w:sz w:val="17"/>
                <w:szCs w:val="17"/>
                <w:color w:val="0000EE"/>
                <w:w w:val="93"/>
              </w:rPr>
            </w:pPr>
            <w:hyperlink r:id="rId20">
              <w:r>
                <w:rPr>
                  <w:rFonts w:ascii="Arial" w:cs="Arial" w:eastAsia="Arial" w:hAnsi="Arial"/>
                  <w:sz w:val="17"/>
                  <w:szCs w:val="17"/>
                  <w:color w:val="0000EE"/>
                  <w:w w:val="93"/>
                </w:rPr>
                <w:t>8-K (File No. 001-37766) filed with the Securities and Exchange Commission on May 17, 2016)</w:t>
              </w:r>
            </w:hyperlink>
          </w:p>
        </w:tc>
        <w:tc>
          <w:tcPr>
            <w:tcW w:w="3480" w:type="dxa"/>
            <w:vAlign w:val="bottom"/>
            <w:tcBorders>
              <w:top w:val="single" w:sz="8" w:color="0000EE"/>
            </w:tcBorders>
            <w:gridSpan w:val="6"/>
          </w:tcPr>
          <w:p>
            <w:pPr>
              <w:spacing w:after="0"/>
              <w:rPr>
                <w:sz w:val="16"/>
                <w:szCs w:val="16"/>
                <w:color w:val="auto"/>
              </w:rPr>
            </w:pPr>
          </w:p>
        </w:tc>
        <w:tc>
          <w:tcPr>
            <w:tcW w:w="140" w:type="dxa"/>
            <w:vAlign w:val="bottom"/>
            <w:gridSpan w:val="3"/>
          </w:tcPr>
          <w:p>
            <w:pPr>
              <w:spacing w:after="0"/>
              <w:rPr>
                <w:sz w:val="16"/>
                <w:szCs w:val="16"/>
                <w:color w:val="auto"/>
              </w:rPr>
            </w:pPr>
          </w:p>
        </w:tc>
      </w:tr>
      <w:tr>
        <w:trPr>
          <w:trHeight w:val="187"/>
        </w:trPr>
        <w:tc>
          <w:tcPr>
            <w:tcW w:w="820" w:type="dxa"/>
            <w:vAlign w:val="bottom"/>
          </w:tcPr>
          <w:p>
            <w:pPr>
              <w:spacing w:after="0" w:line="188" w:lineRule="exact"/>
              <w:rPr>
                <w:sz w:val="20"/>
                <w:szCs w:val="20"/>
                <w:color w:val="auto"/>
              </w:rPr>
            </w:pPr>
            <w:r>
              <w:rPr>
                <w:rFonts w:ascii="Arial" w:cs="Arial" w:eastAsia="Arial" w:hAnsi="Arial"/>
                <w:sz w:val="17"/>
                <w:szCs w:val="17"/>
                <w:color w:val="auto"/>
              </w:rPr>
              <w:t>4.3</w:t>
            </w:r>
          </w:p>
        </w:tc>
        <w:tc>
          <w:tcPr>
            <w:tcW w:w="280" w:type="dxa"/>
            <w:vAlign w:val="bottom"/>
          </w:tcPr>
          <w:p>
            <w:pPr>
              <w:spacing w:after="0"/>
              <w:rPr>
                <w:sz w:val="16"/>
                <w:szCs w:val="16"/>
                <w:color w:val="auto"/>
              </w:rPr>
            </w:pPr>
          </w:p>
        </w:tc>
        <w:tc>
          <w:tcPr>
            <w:tcW w:w="10240" w:type="dxa"/>
            <w:vAlign w:val="bottom"/>
            <w:tcBorders>
              <w:bottom w:val="single" w:sz="8" w:color="0000EE"/>
            </w:tcBorders>
            <w:gridSpan w:val="18"/>
          </w:tcPr>
          <w:p>
            <w:pPr>
              <w:spacing w:after="0" w:line="188" w:lineRule="exact"/>
              <w:rPr>
                <w:rFonts w:ascii="Arial" w:cs="Arial" w:eastAsia="Arial" w:hAnsi="Arial"/>
                <w:sz w:val="17"/>
                <w:szCs w:val="17"/>
                <w:color w:val="0000EE"/>
                <w:w w:val="92"/>
              </w:rPr>
            </w:pPr>
            <w:hyperlink r:id="rId21">
              <w:r>
                <w:rPr>
                  <w:rFonts w:ascii="Arial" w:cs="Arial" w:eastAsia="Arial" w:hAnsi="Arial"/>
                  <w:sz w:val="17"/>
                  <w:szCs w:val="17"/>
                  <w:color w:val="0000EE"/>
                  <w:w w:val="92"/>
                </w:rPr>
                <w:t>Second Amended and Restated By-Laws of the Registrant (incorporated by reference to Exhibit 3.2 of the Registrant’s Current Report on Form 8-K</w:t>
              </w:r>
            </w:hyperlink>
          </w:p>
        </w:tc>
        <w:tc>
          <w:tcPr>
            <w:tcW w:w="80" w:type="dxa"/>
            <w:vAlign w:val="bottom"/>
          </w:tcPr>
          <w:p>
            <w:pPr>
              <w:spacing w:after="0"/>
              <w:rPr>
                <w:sz w:val="16"/>
                <w:szCs w:val="16"/>
                <w:color w:val="auto"/>
              </w:rPr>
            </w:pPr>
          </w:p>
        </w:tc>
      </w:tr>
      <w:tr>
        <w:trPr>
          <w:trHeight w:val="187"/>
        </w:trPr>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320" w:type="dxa"/>
            <w:vAlign w:val="bottom"/>
            <w:gridSpan w:val="19"/>
          </w:tcPr>
          <w:p>
            <w:pPr>
              <w:spacing w:after="0" w:line="188" w:lineRule="exact"/>
              <w:rPr>
                <w:rFonts w:ascii="Arial" w:cs="Arial" w:eastAsia="Arial" w:hAnsi="Arial"/>
                <w:sz w:val="17"/>
                <w:szCs w:val="17"/>
                <w:color w:val="0000EE"/>
              </w:rPr>
            </w:pPr>
            <w:hyperlink r:id="rId21">
              <w:r>
                <w:rPr>
                  <w:rFonts w:ascii="Arial" w:cs="Arial" w:eastAsia="Arial" w:hAnsi="Arial"/>
                  <w:sz w:val="17"/>
                  <w:szCs w:val="17"/>
                  <w:color w:val="0000EE"/>
                </w:rPr>
                <w:t>(File No. 001-37766) filed with the Securities and Exchange Commission on May 17, 2016)</w:t>
              </w:r>
            </w:hyperlink>
          </w:p>
        </w:tc>
      </w:tr>
      <w:tr>
        <w:trPr>
          <w:trHeight w:val="20"/>
        </w:trPr>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87"/>
        </w:trPr>
        <w:tc>
          <w:tcPr>
            <w:tcW w:w="820" w:type="dxa"/>
            <w:vAlign w:val="bottom"/>
          </w:tcPr>
          <w:p>
            <w:pPr>
              <w:spacing w:after="0" w:line="188" w:lineRule="exact"/>
              <w:rPr>
                <w:sz w:val="20"/>
                <w:szCs w:val="20"/>
                <w:color w:val="auto"/>
              </w:rPr>
            </w:pPr>
            <w:r>
              <w:rPr>
                <w:rFonts w:ascii="Arial" w:cs="Arial" w:eastAsia="Arial" w:hAnsi="Arial"/>
                <w:sz w:val="17"/>
                <w:szCs w:val="17"/>
                <w:color w:val="auto"/>
              </w:rPr>
              <w:t>4.4</w:t>
            </w:r>
          </w:p>
        </w:tc>
        <w:tc>
          <w:tcPr>
            <w:tcW w:w="280" w:type="dxa"/>
            <w:vAlign w:val="bottom"/>
          </w:tcPr>
          <w:p>
            <w:pPr>
              <w:spacing w:after="0"/>
              <w:rPr>
                <w:sz w:val="16"/>
                <w:szCs w:val="16"/>
                <w:color w:val="auto"/>
              </w:rPr>
            </w:pPr>
          </w:p>
        </w:tc>
        <w:tc>
          <w:tcPr>
            <w:tcW w:w="10160" w:type="dxa"/>
            <w:vAlign w:val="bottom"/>
            <w:tcBorders>
              <w:bottom w:val="single" w:sz="8" w:color="0000EE"/>
            </w:tcBorders>
            <w:gridSpan w:val="15"/>
          </w:tcPr>
          <w:p>
            <w:pPr>
              <w:spacing w:after="0" w:line="188" w:lineRule="exact"/>
              <w:rPr>
                <w:rFonts w:ascii="Arial" w:cs="Arial" w:eastAsia="Arial" w:hAnsi="Arial"/>
                <w:sz w:val="17"/>
                <w:szCs w:val="17"/>
                <w:color w:val="0000EE"/>
                <w:w w:val="92"/>
              </w:rPr>
            </w:pPr>
            <w:hyperlink r:id="rId22">
              <w:r>
                <w:rPr>
                  <w:rFonts w:ascii="Arial" w:cs="Arial" w:eastAsia="Arial" w:hAnsi="Arial"/>
                  <w:sz w:val="17"/>
                  <w:szCs w:val="17"/>
                  <w:color w:val="0000EE"/>
                  <w:w w:val="92"/>
                </w:rPr>
                <w:t>Investors’ Rights Agreement among the Registrant and certain of its stockholders, dated August 20, 2015 (incorporated by reference to Exhibit 4.1</w:t>
              </w:r>
            </w:hyperlink>
          </w:p>
        </w:tc>
        <w:tc>
          <w:tcPr>
            <w:tcW w:w="160" w:type="dxa"/>
            <w:vAlign w:val="bottom"/>
            <w:gridSpan w:val="4"/>
          </w:tcPr>
          <w:p>
            <w:pPr>
              <w:spacing w:after="0"/>
              <w:rPr>
                <w:sz w:val="16"/>
                <w:szCs w:val="16"/>
                <w:color w:val="auto"/>
              </w:rPr>
            </w:pPr>
          </w:p>
        </w:tc>
      </w:tr>
      <w:tr>
        <w:trPr>
          <w:trHeight w:val="187"/>
        </w:trPr>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500" w:type="dxa"/>
            <w:vAlign w:val="bottom"/>
            <w:tcBorders>
              <w:bottom w:val="single" w:sz="8" w:color="0000EE"/>
            </w:tcBorders>
            <w:gridSpan w:val="11"/>
          </w:tcPr>
          <w:p>
            <w:pPr>
              <w:spacing w:after="0" w:line="188" w:lineRule="exact"/>
              <w:rPr>
                <w:rFonts w:ascii="Arial" w:cs="Arial" w:eastAsia="Arial" w:hAnsi="Arial"/>
                <w:sz w:val="17"/>
                <w:szCs w:val="17"/>
                <w:color w:val="0000EE"/>
                <w:w w:val="93"/>
              </w:rPr>
            </w:pPr>
            <w:hyperlink r:id="rId22">
              <w:r>
                <w:rPr>
                  <w:rFonts w:ascii="Arial" w:cs="Arial" w:eastAsia="Arial" w:hAnsi="Arial"/>
                  <w:sz w:val="17"/>
                  <w:szCs w:val="17"/>
                  <w:color w:val="0000EE"/>
                  <w:w w:val="93"/>
                </w:rPr>
                <w:t>of the Registration Statement on Form S-1 (File No. 333-210689) filed with the Securities and Exchange Commission on April 11, 2016)</w:t>
              </w:r>
            </w:hyperlink>
          </w:p>
        </w:tc>
        <w:tc>
          <w:tcPr>
            <w:tcW w:w="820" w:type="dxa"/>
            <w:vAlign w:val="bottom"/>
            <w:gridSpan w:val="8"/>
          </w:tcPr>
          <w:p>
            <w:pPr>
              <w:spacing w:after="0"/>
              <w:rPr>
                <w:sz w:val="16"/>
                <w:szCs w:val="16"/>
                <w:color w:val="auto"/>
              </w:rPr>
            </w:pPr>
          </w:p>
        </w:tc>
      </w:tr>
      <w:tr>
        <w:trPr>
          <w:trHeight w:val="187"/>
        </w:trPr>
        <w:tc>
          <w:tcPr>
            <w:tcW w:w="820" w:type="dxa"/>
            <w:vAlign w:val="bottom"/>
          </w:tcPr>
          <w:p>
            <w:pPr>
              <w:spacing w:after="0" w:line="188" w:lineRule="exact"/>
              <w:rPr>
                <w:sz w:val="20"/>
                <w:szCs w:val="20"/>
                <w:color w:val="auto"/>
              </w:rPr>
            </w:pPr>
            <w:r>
              <w:rPr>
                <w:rFonts w:ascii="Arial" w:cs="Arial" w:eastAsia="Arial" w:hAnsi="Arial"/>
                <w:sz w:val="17"/>
                <w:szCs w:val="17"/>
                <w:color w:val="auto"/>
              </w:rPr>
              <w:t>4.5</w:t>
            </w:r>
          </w:p>
        </w:tc>
        <w:tc>
          <w:tcPr>
            <w:tcW w:w="280" w:type="dxa"/>
            <w:vAlign w:val="bottom"/>
          </w:tcPr>
          <w:p>
            <w:pPr>
              <w:spacing w:after="0"/>
              <w:rPr>
                <w:sz w:val="16"/>
                <w:szCs w:val="16"/>
                <w:color w:val="auto"/>
              </w:rPr>
            </w:pPr>
          </w:p>
        </w:tc>
        <w:tc>
          <w:tcPr>
            <w:tcW w:w="10320" w:type="dxa"/>
            <w:vAlign w:val="bottom"/>
            <w:gridSpan w:val="19"/>
          </w:tcPr>
          <w:p>
            <w:pPr>
              <w:spacing w:after="0" w:line="188" w:lineRule="exact"/>
              <w:rPr>
                <w:rFonts w:ascii="Arial" w:cs="Arial" w:eastAsia="Arial" w:hAnsi="Arial"/>
                <w:sz w:val="17"/>
                <w:szCs w:val="17"/>
                <w:color w:val="0000EE"/>
                <w:w w:val="97"/>
              </w:rPr>
            </w:pPr>
            <w:hyperlink r:id="rId23">
              <w:r>
                <w:rPr>
                  <w:rFonts w:ascii="Arial" w:cs="Arial" w:eastAsia="Arial" w:hAnsi="Arial"/>
                  <w:sz w:val="17"/>
                  <w:szCs w:val="17"/>
                  <w:color w:val="0000EE"/>
                  <w:w w:val="97"/>
                </w:rPr>
                <w:t>Amendment No. 1 to Investors’ Rights Agreement among the Registrant and certain of its stockholders, dated April 11, 2016 (incorporated by</w:t>
              </w:r>
            </w:hyperlink>
          </w:p>
        </w:tc>
      </w:tr>
      <w:tr>
        <w:trPr>
          <w:trHeight w:val="20"/>
        </w:trPr>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87"/>
        </w:trPr>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60" w:type="dxa"/>
            <w:vAlign w:val="bottom"/>
            <w:tcBorders>
              <w:bottom w:val="single" w:sz="8" w:color="0000EE"/>
            </w:tcBorders>
            <w:gridSpan w:val="14"/>
          </w:tcPr>
          <w:p>
            <w:pPr>
              <w:spacing w:after="0" w:line="188" w:lineRule="exact"/>
              <w:rPr>
                <w:rFonts w:ascii="Arial" w:cs="Arial" w:eastAsia="Arial" w:hAnsi="Arial"/>
                <w:sz w:val="17"/>
                <w:szCs w:val="17"/>
                <w:color w:val="0000EE"/>
                <w:w w:val="92"/>
              </w:rPr>
            </w:pPr>
            <w:hyperlink r:id="rId23">
              <w:r>
                <w:rPr>
                  <w:rFonts w:ascii="Arial" w:cs="Arial" w:eastAsia="Arial" w:hAnsi="Arial"/>
                  <w:sz w:val="17"/>
                  <w:szCs w:val="17"/>
                  <w:color w:val="0000EE"/>
                  <w:w w:val="92"/>
                </w:rPr>
                <w:t>reference to Exhibit 4.2 of the Registration Statement on Form S-1 (File No. 333-210689) filed with the Securities and Exchange Commission on</w:t>
              </w:r>
            </w:hyperlink>
          </w:p>
        </w:tc>
        <w:tc>
          <w:tcPr>
            <w:tcW w:w="260" w:type="dxa"/>
            <w:vAlign w:val="bottom"/>
            <w:gridSpan w:val="5"/>
          </w:tcPr>
          <w:p>
            <w:pPr>
              <w:spacing w:after="0"/>
              <w:rPr>
                <w:sz w:val="16"/>
                <w:szCs w:val="16"/>
                <w:color w:val="auto"/>
              </w:rPr>
            </w:pPr>
          </w:p>
        </w:tc>
      </w:tr>
      <w:tr>
        <w:trPr>
          <w:trHeight w:val="187"/>
        </w:trPr>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Borders>
              <w:bottom w:val="single" w:sz="8" w:color="0000EE"/>
            </w:tcBorders>
          </w:tcPr>
          <w:p>
            <w:pPr>
              <w:spacing w:after="0" w:line="188" w:lineRule="exact"/>
              <w:rPr>
                <w:rFonts w:ascii="Arial" w:cs="Arial" w:eastAsia="Arial" w:hAnsi="Arial"/>
                <w:sz w:val="17"/>
                <w:szCs w:val="17"/>
                <w:color w:val="0000EE"/>
                <w:w w:val="95"/>
              </w:rPr>
            </w:pPr>
            <w:hyperlink r:id="rId23">
              <w:r>
                <w:rPr>
                  <w:rFonts w:ascii="Arial" w:cs="Arial" w:eastAsia="Arial" w:hAnsi="Arial"/>
                  <w:sz w:val="17"/>
                  <w:szCs w:val="17"/>
                  <w:color w:val="0000EE"/>
                  <w:w w:val="95"/>
                </w:rPr>
                <w:t>April 12, 2016)</w:t>
              </w:r>
            </w:hyperlink>
          </w:p>
        </w:tc>
        <w:tc>
          <w:tcPr>
            <w:tcW w:w="9240" w:type="dxa"/>
            <w:vAlign w:val="bottom"/>
            <w:gridSpan w:val="18"/>
          </w:tcPr>
          <w:p>
            <w:pPr>
              <w:spacing w:after="0"/>
              <w:rPr>
                <w:sz w:val="16"/>
                <w:szCs w:val="16"/>
                <w:color w:val="auto"/>
              </w:rPr>
            </w:pPr>
          </w:p>
        </w:tc>
      </w:tr>
      <w:tr>
        <w:trPr>
          <w:trHeight w:val="187"/>
        </w:trPr>
        <w:tc>
          <w:tcPr>
            <w:tcW w:w="820" w:type="dxa"/>
            <w:vAlign w:val="bottom"/>
          </w:tcPr>
          <w:p>
            <w:pPr>
              <w:spacing w:after="0" w:line="188" w:lineRule="exact"/>
              <w:rPr>
                <w:sz w:val="20"/>
                <w:szCs w:val="20"/>
                <w:color w:val="auto"/>
              </w:rPr>
            </w:pPr>
            <w:r>
              <w:rPr>
                <w:rFonts w:ascii="Arial" w:cs="Arial" w:eastAsia="Arial" w:hAnsi="Arial"/>
                <w:sz w:val="17"/>
                <w:szCs w:val="17"/>
                <w:color w:val="auto"/>
              </w:rPr>
              <w:t>4.6</w:t>
            </w:r>
          </w:p>
        </w:tc>
        <w:tc>
          <w:tcPr>
            <w:tcW w:w="280" w:type="dxa"/>
            <w:vAlign w:val="bottom"/>
          </w:tcPr>
          <w:p>
            <w:pPr>
              <w:spacing w:after="0"/>
              <w:rPr>
                <w:sz w:val="16"/>
                <w:szCs w:val="16"/>
                <w:color w:val="auto"/>
              </w:rPr>
            </w:pPr>
          </w:p>
        </w:tc>
        <w:tc>
          <w:tcPr>
            <w:tcW w:w="10320" w:type="dxa"/>
            <w:vAlign w:val="bottom"/>
            <w:gridSpan w:val="19"/>
          </w:tcPr>
          <w:p>
            <w:pPr>
              <w:spacing w:after="0" w:line="188" w:lineRule="exact"/>
              <w:rPr>
                <w:rFonts w:ascii="Arial" w:cs="Arial" w:eastAsia="Arial" w:hAnsi="Arial"/>
                <w:sz w:val="17"/>
                <w:szCs w:val="17"/>
                <w:color w:val="0000EE"/>
                <w:w w:val="95"/>
              </w:rPr>
            </w:pPr>
            <w:hyperlink r:id="rId24">
              <w:r>
                <w:rPr>
                  <w:rFonts w:ascii="Arial" w:cs="Arial" w:eastAsia="Arial" w:hAnsi="Arial"/>
                  <w:sz w:val="17"/>
                  <w:szCs w:val="17"/>
                  <w:color w:val="0000EE"/>
                  <w:w w:val="95"/>
                </w:rPr>
                <w:t>Amendment No. 2 to Investors’ Rights Agreement among the Registrant and certain of its stockholders, dated August 25, 2016 (incorporated by</w:t>
              </w:r>
            </w:hyperlink>
          </w:p>
        </w:tc>
      </w:tr>
      <w:tr>
        <w:trPr>
          <w:trHeight w:val="20"/>
        </w:trPr>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3460" w:type="dxa"/>
            <w:vAlign w:val="bottom"/>
            <w:gridSpan w:val="4"/>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87"/>
        </w:trPr>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60" w:type="dxa"/>
            <w:vAlign w:val="bottom"/>
            <w:tcBorders>
              <w:bottom w:val="single" w:sz="8" w:color="0000EE"/>
            </w:tcBorders>
            <w:gridSpan w:val="14"/>
          </w:tcPr>
          <w:p>
            <w:pPr>
              <w:spacing w:after="0" w:line="188" w:lineRule="exact"/>
              <w:rPr>
                <w:rFonts w:ascii="Arial" w:cs="Arial" w:eastAsia="Arial" w:hAnsi="Arial"/>
                <w:sz w:val="17"/>
                <w:szCs w:val="17"/>
                <w:color w:val="0000EE"/>
                <w:w w:val="92"/>
              </w:rPr>
            </w:pPr>
            <w:hyperlink r:id="rId24">
              <w:r>
                <w:rPr>
                  <w:rFonts w:ascii="Arial" w:cs="Arial" w:eastAsia="Arial" w:hAnsi="Arial"/>
                  <w:sz w:val="17"/>
                  <w:szCs w:val="17"/>
                  <w:color w:val="0000EE"/>
                  <w:w w:val="92"/>
                </w:rPr>
                <w:t>reference to Exhibit 4.3 of the Registration Statement on Form S-1 (File No. 333-210689) filed with the Securities and Exchange Commission on</w:t>
              </w:r>
            </w:hyperlink>
          </w:p>
        </w:tc>
        <w:tc>
          <w:tcPr>
            <w:tcW w:w="260" w:type="dxa"/>
            <w:vAlign w:val="bottom"/>
            <w:gridSpan w:val="5"/>
          </w:tcPr>
          <w:p>
            <w:pPr>
              <w:spacing w:after="0"/>
              <w:rPr>
                <w:sz w:val="16"/>
                <w:szCs w:val="16"/>
                <w:color w:val="auto"/>
              </w:rPr>
            </w:pPr>
          </w:p>
        </w:tc>
      </w:tr>
      <w:tr>
        <w:trPr>
          <w:trHeight w:val="187"/>
        </w:trPr>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Borders>
              <w:bottom w:val="single" w:sz="8" w:color="0000EE"/>
            </w:tcBorders>
          </w:tcPr>
          <w:p>
            <w:pPr>
              <w:spacing w:after="0" w:line="188" w:lineRule="exact"/>
              <w:rPr>
                <w:rFonts w:ascii="Arial" w:cs="Arial" w:eastAsia="Arial" w:hAnsi="Arial"/>
                <w:sz w:val="17"/>
                <w:szCs w:val="17"/>
                <w:color w:val="0000EE"/>
                <w:w w:val="95"/>
              </w:rPr>
            </w:pPr>
            <w:hyperlink r:id="rId24">
              <w:r>
                <w:rPr>
                  <w:rFonts w:ascii="Arial" w:cs="Arial" w:eastAsia="Arial" w:hAnsi="Arial"/>
                  <w:sz w:val="17"/>
                  <w:szCs w:val="17"/>
                  <w:color w:val="0000EE"/>
                  <w:w w:val="95"/>
                </w:rPr>
                <w:t>April 27, 2016)</w:t>
              </w:r>
            </w:hyperlink>
          </w:p>
        </w:tc>
        <w:tc>
          <w:tcPr>
            <w:tcW w:w="9240" w:type="dxa"/>
            <w:vAlign w:val="bottom"/>
            <w:gridSpan w:val="18"/>
          </w:tcPr>
          <w:p>
            <w:pPr>
              <w:spacing w:after="0"/>
              <w:rPr>
                <w:sz w:val="16"/>
                <w:szCs w:val="16"/>
                <w:color w:val="auto"/>
              </w:rPr>
            </w:pPr>
          </w:p>
        </w:tc>
      </w:tr>
      <w:tr>
        <w:trPr>
          <w:trHeight w:val="187"/>
        </w:trPr>
        <w:tc>
          <w:tcPr>
            <w:tcW w:w="820" w:type="dxa"/>
            <w:vAlign w:val="bottom"/>
          </w:tcPr>
          <w:p>
            <w:pPr>
              <w:spacing w:after="0" w:line="188" w:lineRule="exact"/>
              <w:rPr>
                <w:sz w:val="20"/>
                <w:szCs w:val="20"/>
                <w:color w:val="auto"/>
              </w:rPr>
            </w:pPr>
            <w:r>
              <w:rPr>
                <w:rFonts w:ascii="Arial" w:cs="Arial" w:eastAsia="Arial" w:hAnsi="Arial"/>
                <w:sz w:val="17"/>
                <w:szCs w:val="17"/>
                <w:color w:val="auto"/>
              </w:rPr>
              <w:t>5.1*</w:t>
            </w:r>
          </w:p>
        </w:tc>
        <w:tc>
          <w:tcPr>
            <w:tcW w:w="280" w:type="dxa"/>
            <w:vAlign w:val="bottom"/>
          </w:tcPr>
          <w:p>
            <w:pPr>
              <w:spacing w:after="0"/>
              <w:rPr>
                <w:sz w:val="16"/>
                <w:szCs w:val="16"/>
                <w:color w:val="auto"/>
              </w:rPr>
            </w:pPr>
          </w:p>
        </w:tc>
        <w:tc>
          <w:tcPr>
            <w:tcW w:w="2360" w:type="dxa"/>
            <w:vAlign w:val="bottom"/>
            <w:tcBorders>
              <w:bottom w:val="single" w:sz="8" w:color="0000EE"/>
            </w:tcBorders>
            <w:gridSpan w:val="4"/>
          </w:tcPr>
          <w:p>
            <w:pPr>
              <w:spacing w:after="0" w:line="188" w:lineRule="exact"/>
              <w:rPr>
                <w:rFonts w:ascii="Arial" w:cs="Arial" w:eastAsia="Arial" w:hAnsi="Arial"/>
                <w:sz w:val="17"/>
                <w:szCs w:val="17"/>
                <w:color w:val="0000EE"/>
                <w:w w:val="95"/>
              </w:rPr>
            </w:pPr>
            <w:hyperlink w:anchor="page6">
              <w:r>
                <w:rPr>
                  <w:rFonts w:ascii="Arial" w:cs="Arial" w:eastAsia="Arial" w:hAnsi="Arial"/>
                  <w:sz w:val="17"/>
                  <w:szCs w:val="17"/>
                  <w:color w:val="0000EE"/>
                  <w:w w:val="95"/>
                </w:rPr>
                <w:t>Opinion of Goodwin Procter LLP</w:t>
              </w:r>
            </w:hyperlink>
          </w:p>
        </w:tc>
        <w:tc>
          <w:tcPr>
            <w:tcW w:w="7960" w:type="dxa"/>
            <w:vAlign w:val="bottom"/>
            <w:gridSpan w:val="15"/>
          </w:tcPr>
          <w:p>
            <w:pPr>
              <w:spacing w:after="0"/>
              <w:rPr>
                <w:sz w:val="16"/>
                <w:szCs w:val="16"/>
                <w:color w:val="auto"/>
              </w:rPr>
            </w:pPr>
          </w:p>
        </w:tc>
      </w:tr>
      <w:tr>
        <w:trPr>
          <w:trHeight w:val="187"/>
        </w:trPr>
        <w:tc>
          <w:tcPr>
            <w:tcW w:w="820" w:type="dxa"/>
            <w:vAlign w:val="bottom"/>
          </w:tcPr>
          <w:p>
            <w:pPr>
              <w:spacing w:after="0" w:line="188" w:lineRule="exact"/>
              <w:rPr>
                <w:sz w:val="20"/>
                <w:szCs w:val="20"/>
                <w:color w:val="auto"/>
              </w:rPr>
            </w:pPr>
            <w:r>
              <w:rPr>
                <w:rFonts w:ascii="Arial" w:cs="Arial" w:eastAsia="Arial" w:hAnsi="Arial"/>
                <w:sz w:val="17"/>
                <w:szCs w:val="17"/>
                <w:color w:val="auto"/>
              </w:rPr>
              <w:t>23.1*</w:t>
            </w:r>
          </w:p>
        </w:tc>
        <w:tc>
          <w:tcPr>
            <w:tcW w:w="280" w:type="dxa"/>
            <w:vAlign w:val="bottom"/>
          </w:tcPr>
          <w:p>
            <w:pPr>
              <w:spacing w:after="0"/>
              <w:rPr>
                <w:sz w:val="16"/>
                <w:szCs w:val="16"/>
                <w:color w:val="auto"/>
              </w:rPr>
            </w:pPr>
          </w:p>
        </w:tc>
        <w:tc>
          <w:tcPr>
            <w:tcW w:w="2340" w:type="dxa"/>
            <w:vAlign w:val="bottom"/>
            <w:tcBorders>
              <w:bottom w:val="single" w:sz="8" w:color="0000EE"/>
            </w:tcBorders>
            <w:gridSpan w:val="3"/>
          </w:tcPr>
          <w:p>
            <w:pPr>
              <w:spacing w:after="0" w:line="188" w:lineRule="exact"/>
              <w:rPr>
                <w:rFonts w:ascii="Arial" w:cs="Arial" w:eastAsia="Arial" w:hAnsi="Arial"/>
                <w:sz w:val="17"/>
                <w:szCs w:val="17"/>
                <w:color w:val="0000EE"/>
                <w:w w:val="93"/>
              </w:rPr>
            </w:pPr>
            <w:hyperlink w:anchor="page6">
              <w:r>
                <w:rPr>
                  <w:rFonts w:ascii="Arial" w:cs="Arial" w:eastAsia="Arial" w:hAnsi="Arial"/>
                  <w:sz w:val="17"/>
                  <w:szCs w:val="17"/>
                  <w:color w:val="0000EE"/>
                  <w:w w:val="93"/>
                </w:rPr>
                <w:t>Consent of Goodwin Procter LLP</w:t>
              </w:r>
            </w:hyperlink>
          </w:p>
        </w:tc>
        <w:tc>
          <w:tcPr>
            <w:tcW w:w="7980" w:type="dxa"/>
            <w:vAlign w:val="bottom"/>
            <w:gridSpan w:val="16"/>
          </w:tcPr>
          <w:p>
            <w:pPr>
              <w:spacing w:after="0"/>
              <w:rPr>
                <w:sz w:val="16"/>
                <w:szCs w:val="16"/>
                <w:color w:val="auto"/>
              </w:rPr>
            </w:pPr>
          </w:p>
        </w:tc>
      </w:tr>
      <w:tr>
        <w:trPr>
          <w:trHeight w:val="187"/>
        </w:trPr>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320" w:type="dxa"/>
            <w:vAlign w:val="bottom"/>
            <w:gridSpan w:val="19"/>
          </w:tcPr>
          <w:p>
            <w:pPr>
              <w:spacing w:after="0" w:line="188" w:lineRule="exact"/>
              <w:rPr>
                <w:rFonts w:ascii="Arial" w:cs="Arial" w:eastAsia="Arial" w:hAnsi="Arial"/>
                <w:sz w:val="17"/>
                <w:szCs w:val="17"/>
                <w:color w:val="0000EE"/>
              </w:rPr>
            </w:pPr>
            <w:hyperlink w:anchor="page6">
              <w:r>
                <w:rPr>
                  <w:rFonts w:ascii="Arial" w:cs="Arial" w:eastAsia="Arial" w:hAnsi="Arial"/>
                  <w:sz w:val="17"/>
                  <w:szCs w:val="17"/>
                  <w:color w:val="0000EE"/>
                </w:rPr>
                <w:t>(included in Exhibit 5.1)</w:t>
              </w:r>
            </w:hyperlink>
          </w:p>
        </w:tc>
      </w:tr>
      <w:tr>
        <w:trPr>
          <w:trHeight w:val="20"/>
        </w:trPr>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70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87"/>
        </w:trPr>
        <w:tc>
          <w:tcPr>
            <w:tcW w:w="820" w:type="dxa"/>
            <w:vAlign w:val="bottom"/>
          </w:tcPr>
          <w:p>
            <w:pPr>
              <w:spacing w:after="0" w:line="188" w:lineRule="exact"/>
              <w:rPr>
                <w:sz w:val="20"/>
                <w:szCs w:val="20"/>
                <w:color w:val="auto"/>
              </w:rPr>
            </w:pPr>
            <w:r>
              <w:rPr>
                <w:rFonts w:ascii="Arial" w:cs="Arial" w:eastAsia="Arial" w:hAnsi="Arial"/>
                <w:sz w:val="17"/>
                <w:szCs w:val="17"/>
                <w:color w:val="auto"/>
              </w:rPr>
              <w:t>23.2*</w:t>
            </w:r>
          </w:p>
        </w:tc>
        <w:tc>
          <w:tcPr>
            <w:tcW w:w="280" w:type="dxa"/>
            <w:vAlign w:val="bottom"/>
          </w:tcPr>
          <w:p>
            <w:pPr>
              <w:spacing w:after="0"/>
              <w:rPr>
                <w:sz w:val="16"/>
                <w:szCs w:val="16"/>
                <w:color w:val="auto"/>
              </w:rPr>
            </w:pPr>
          </w:p>
        </w:tc>
        <w:tc>
          <w:tcPr>
            <w:tcW w:w="5860" w:type="dxa"/>
            <w:vAlign w:val="bottom"/>
            <w:tcBorders>
              <w:bottom w:val="single" w:sz="8" w:color="0000EE"/>
            </w:tcBorders>
            <w:gridSpan w:val="6"/>
          </w:tcPr>
          <w:p>
            <w:pPr>
              <w:spacing w:after="0" w:line="188" w:lineRule="exact"/>
              <w:rPr>
                <w:rFonts w:ascii="Arial" w:cs="Arial" w:eastAsia="Arial" w:hAnsi="Arial"/>
                <w:sz w:val="17"/>
                <w:szCs w:val="17"/>
                <w:color w:val="0000EE"/>
                <w:w w:val="93"/>
              </w:rPr>
            </w:pPr>
            <w:hyperlink w:anchor="page7">
              <w:r>
                <w:rPr>
                  <w:rFonts w:ascii="Arial" w:cs="Arial" w:eastAsia="Arial" w:hAnsi="Arial"/>
                  <w:sz w:val="17"/>
                  <w:szCs w:val="17"/>
                  <w:color w:val="0000EE"/>
                  <w:w w:val="93"/>
                </w:rPr>
                <w:t>Consent of Deloitte &amp; Touche LLP, Independent Registered Public Accounting Firm</w:t>
              </w:r>
            </w:hyperlink>
          </w:p>
        </w:tc>
        <w:tc>
          <w:tcPr>
            <w:tcW w:w="4460" w:type="dxa"/>
            <w:vAlign w:val="bottom"/>
            <w:gridSpan w:val="13"/>
          </w:tcPr>
          <w:p>
            <w:pPr>
              <w:spacing w:after="0"/>
              <w:rPr>
                <w:sz w:val="16"/>
                <w:szCs w:val="16"/>
                <w:color w:val="auto"/>
              </w:rPr>
            </w:pPr>
          </w:p>
        </w:tc>
      </w:tr>
      <w:tr>
        <w:trPr>
          <w:trHeight w:val="187"/>
        </w:trPr>
        <w:tc>
          <w:tcPr>
            <w:tcW w:w="820" w:type="dxa"/>
            <w:vAlign w:val="bottom"/>
          </w:tcPr>
          <w:p>
            <w:pPr>
              <w:spacing w:after="0" w:line="188" w:lineRule="exact"/>
              <w:rPr>
                <w:sz w:val="20"/>
                <w:szCs w:val="20"/>
                <w:color w:val="auto"/>
              </w:rPr>
            </w:pPr>
            <w:r>
              <w:rPr>
                <w:rFonts w:ascii="Arial" w:cs="Arial" w:eastAsia="Arial" w:hAnsi="Arial"/>
                <w:sz w:val="17"/>
                <w:szCs w:val="17"/>
                <w:color w:val="auto"/>
              </w:rPr>
              <w:t>24.1*</w:t>
            </w:r>
          </w:p>
        </w:tc>
        <w:tc>
          <w:tcPr>
            <w:tcW w:w="280" w:type="dxa"/>
            <w:vAlign w:val="bottom"/>
          </w:tcPr>
          <w:p>
            <w:pPr>
              <w:spacing w:after="0"/>
              <w:rPr>
                <w:sz w:val="16"/>
                <w:szCs w:val="16"/>
                <w:color w:val="auto"/>
              </w:rPr>
            </w:pPr>
          </w:p>
        </w:tc>
        <w:tc>
          <w:tcPr>
            <w:tcW w:w="5600" w:type="dxa"/>
            <w:vAlign w:val="bottom"/>
            <w:tcBorders>
              <w:bottom w:val="single" w:sz="8" w:color="0000EE"/>
            </w:tcBorders>
            <w:gridSpan w:val="5"/>
          </w:tcPr>
          <w:p>
            <w:pPr>
              <w:spacing w:after="0" w:line="188" w:lineRule="exact"/>
              <w:rPr>
                <w:rFonts w:ascii="Arial" w:cs="Arial" w:eastAsia="Arial" w:hAnsi="Arial"/>
                <w:sz w:val="17"/>
                <w:szCs w:val="17"/>
                <w:color w:val="0000EE"/>
                <w:w w:val="91"/>
              </w:rPr>
            </w:pPr>
            <w:hyperlink w:anchor="page4">
              <w:r>
                <w:rPr>
                  <w:rFonts w:ascii="Arial" w:cs="Arial" w:eastAsia="Arial" w:hAnsi="Arial"/>
                  <w:sz w:val="17"/>
                  <w:szCs w:val="17"/>
                  <w:color w:val="0000EE"/>
                  <w:w w:val="91"/>
                </w:rPr>
                <w:t>Power of attorney (included on the signature pages of this registration statement)</w:t>
              </w:r>
            </w:hyperlink>
          </w:p>
        </w:tc>
        <w:tc>
          <w:tcPr>
            <w:tcW w:w="4720" w:type="dxa"/>
            <w:vAlign w:val="bottom"/>
            <w:gridSpan w:val="14"/>
          </w:tcPr>
          <w:p>
            <w:pPr>
              <w:spacing w:after="0"/>
              <w:rPr>
                <w:sz w:val="16"/>
                <w:szCs w:val="16"/>
                <w:color w:val="auto"/>
              </w:rPr>
            </w:pPr>
          </w:p>
        </w:tc>
      </w:tr>
      <w:tr>
        <w:trPr>
          <w:trHeight w:val="187"/>
        </w:trPr>
        <w:tc>
          <w:tcPr>
            <w:tcW w:w="820" w:type="dxa"/>
            <w:vAlign w:val="bottom"/>
          </w:tcPr>
          <w:p>
            <w:pPr>
              <w:spacing w:after="0" w:line="188" w:lineRule="exact"/>
              <w:rPr>
                <w:sz w:val="20"/>
                <w:szCs w:val="20"/>
                <w:color w:val="auto"/>
              </w:rPr>
            </w:pPr>
            <w:r>
              <w:rPr>
                <w:rFonts w:ascii="Arial" w:cs="Arial" w:eastAsia="Arial" w:hAnsi="Arial"/>
                <w:sz w:val="17"/>
                <w:szCs w:val="17"/>
                <w:color w:val="auto"/>
              </w:rPr>
              <w:t>99.1</w:t>
            </w:r>
          </w:p>
        </w:tc>
        <w:tc>
          <w:tcPr>
            <w:tcW w:w="280" w:type="dxa"/>
            <w:vAlign w:val="bottom"/>
          </w:tcPr>
          <w:p>
            <w:pPr>
              <w:spacing w:after="0"/>
              <w:rPr>
                <w:sz w:val="16"/>
                <w:szCs w:val="16"/>
                <w:color w:val="auto"/>
              </w:rPr>
            </w:pPr>
          </w:p>
        </w:tc>
        <w:tc>
          <w:tcPr>
            <w:tcW w:w="10220" w:type="dxa"/>
            <w:vAlign w:val="bottom"/>
            <w:tcBorders>
              <w:bottom w:val="single" w:sz="8" w:color="0000EE"/>
            </w:tcBorders>
            <w:gridSpan w:val="17"/>
          </w:tcPr>
          <w:p>
            <w:pPr>
              <w:spacing w:after="0" w:line="188" w:lineRule="exact"/>
              <w:rPr>
                <w:rFonts w:ascii="Arial" w:cs="Arial" w:eastAsia="Arial" w:hAnsi="Arial"/>
                <w:sz w:val="17"/>
                <w:szCs w:val="17"/>
                <w:color w:val="0000EE"/>
                <w:w w:val="92"/>
              </w:rPr>
            </w:pPr>
            <w:hyperlink r:id="rId25">
              <w:r>
                <w:rPr>
                  <w:rFonts w:ascii="Arial" w:cs="Arial" w:eastAsia="Arial" w:hAnsi="Arial"/>
                  <w:sz w:val="17"/>
                  <w:szCs w:val="17"/>
                  <w:color w:val="0000EE"/>
                  <w:w w:val="92"/>
                </w:rPr>
                <w:t>Amended and Restated 2015 Stock Option and Incentive Plan (incorporated by reference to Exhibit 10.1 of the Registration Statement on Form S-1</w:t>
              </w:r>
            </w:hyperlink>
          </w:p>
        </w:tc>
        <w:tc>
          <w:tcPr>
            <w:tcW w:w="100" w:type="dxa"/>
            <w:vAlign w:val="bottom"/>
            <w:gridSpan w:val="2"/>
          </w:tcPr>
          <w:p>
            <w:pPr>
              <w:spacing w:after="0"/>
              <w:rPr>
                <w:sz w:val="16"/>
                <w:szCs w:val="16"/>
                <w:color w:val="auto"/>
              </w:rPr>
            </w:pPr>
          </w:p>
        </w:tc>
      </w:tr>
      <w:tr>
        <w:trPr>
          <w:trHeight w:val="187"/>
        </w:trPr>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520" w:type="dxa"/>
            <w:vAlign w:val="bottom"/>
            <w:tcBorders>
              <w:bottom w:val="single" w:sz="8" w:color="0000EE"/>
            </w:tcBorders>
            <w:gridSpan w:val="9"/>
          </w:tcPr>
          <w:p>
            <w:pPr>
              <w:spacing w:after="0" w:line="188" w:lineRule="exact"/>
              <w:rPr>
                <w:rFonts w:ascii="Arial" w:cs="Arial" w:eastAsia="Arial" w:hAnsi="Arial"/>
                <w:sz w:val="17"/>
                <w:szCs w:val="17"/>
                <w:color w:val="0000EE"/>
                <w:w w:val="93"/>
              </w:rPr>
            </w:pPr>
            <w:hyperlink r:id="rId25">
              <w:r>
                <w:rPr>
                  <w:rFonts w:ascii="Arial" w:cs="Arial" w:eastAsia="Arial" w:hAnsi="Arial"/>
                  <w:sz w:val="17"/>
                  <w:szCs w:val="17"/>
                  <w:color w:val="0000EE"/>
                  <w:w w:val="93"/>
                </w:rPr>
                <w:t>(File No. 333-210689) filed with the Securities and Exchange Commission on April 27, 2016)</w:t>
              </w:r>
            </w:hyperlink>
          </w:p>
        </w:tc>
        <w:tc>
          <w:tcPr>
            <w:tcW w:w="3800" w:type="dxa"/>
            <w:vAlign w:val="bottom"/>
            <w:gridSpan w:val="10"/>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280035</wp:posOffset>
            </wp:positionV>
            <wp:extent cx="72523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520" w:hanging="516"/>
        <w:spacing w:after="0"/>
        <w:tabs>
          <w:tab w:leader="none" w:pos="520" w:val="left"/>
        </w:tabs>
        <w:numPr>
          <w:ilvl w:val="0"/>
          <w:numId w:val="2"/>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332105</wp:posOffset>
            </wp:positionV>
            <wp:extent cx="729424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7"/>
          <w:szCs w:val="17"/>
          <w:b w:val="1"/>
          <w:bCs w:val="1"/>
          <w:color w:val="auto"/>
        </w:rPr>
        <w:t>SIGNATURES</w:t>
      </w:r>
    </w:p>
    <w:p>
      <w:pPr>
        <w:spacing w:after="0" w:line="17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Cambridge, Commonwealth of Massachusetts, on this 27th day of February, 2020.</w:t>
      </w:r>
    </w:p>
    <w:p>
      <w:pPr>
        <w:spacing w:after="0" w:line="36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INTELLIA THERAPEUTICS, INC.</w:t>
      </w:r>
    </w:p>
    <w:p>
      <w:pPr>
        <w:spacing w:after="0" w:line="206"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7"/>
          <w:szCs w:val="17"/>
          <w:color w:val="auto"/>
        </w:rPr>
        <w:t>By:</w:t>
        <w:tab/>
        <w:t>/s/ John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4669790</wp:posOffset>
            </wp:positionH>
            <wp:positionV relativeFrom="paragraph">
              <wp:posOffset>15240</wp:posOffset>
            </wp:positionV>
            <wp:extent cx="20332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2033270" cy="8255"/>
                    </a:xfrm>
                    <a:prstGeom prst="rect">
                      <a:avLst/>
                    </a:prstGeom>
                    <a:noFill/>
                  </pic:spPr>
                </pic:pic>
              </a:graphicData>
            </a:graphic>
          </wp:anchor>
        </w:drawing>
      </w:r>
    </w:p>
    <w:p>
      <w:pPr>
        <w:spacing w:after="0" w:line="17" w:lineRule="exact"/>
        <w:rPr>
          <w:sz w:val="20"/>
          <w:szCs w:val="20"/>
          <w:color w:val="auto"/>
        </w:rPr>
      </w:pPr>
    </w:p>
    <w:p>
      <w:pPr>
        <w:ind w:left="7360"/>
        <w:spacing w:after="0"/>
        <w:rPr>
          <w:sz w:val="20"/>
          <w:szCs w:val="20"/>
          <w:color w:val="auto"/>
        </w:rPr>
      </w:pPr>
      <w:r>
        <w:rPr>
          <w:rFonts w:ascii="Arial" w:cs="Arial" w:eastAsia="Arial" w:hAnsi="Arial"/>
          <w:sz w:val="17"/>
          <w:szCs w:val="17"/>
          <w:color w:val="auto"/>
        </w:rPr>
        <w:t>John Leonard, M.D.</w:t>
      </w:r>
    </w:p>
    <w:p>
      <w:pPr>
        <w:spacing w:after="0" w:line="12" w:lineRule="exact"/>
        <w:rPr>
          <w:sz w:val="20"/>
          <w:szCs w:val="20"/>
          <w:color w:val="auto"/>
        </w:rPr>
      </w:pPr>
    </w:p>
    <w:p>
      <w:pPr>
        <w:ind w:left="7360"/>
        <w:spacing w:after="0"/>
        <w:rPr>
          <w:sz w:val="20"/>
          <w:szCs w:val="20"/>
          <w:color w:val="auto"/>
        </w:rPr>
      </w:pPr>
      <w:r>
        <w:rPr>
          <w:rFonts w:ascii="Arial" w:cs="Arial" w:eastAsia="Arial" w:hAnsi="Arial"/>
          <w:sz w:val="17"/>
          <w:szCs w:val="17"/>
          <w:color w:val="auto"/>
        </w:rPr>
        <w:t>President and Chief Executive</w:t>
      </w:r>
    </w:p>
    <w:p>
      <w:pPr>
        <w:spacing w:after="0" w:line="12" w:lineRule="exact"/>
        <w:rPr>
          <w:sz w:val="20"/>
          <w:szCs w:val="20"/>
          <w:color w:val="auto"/>
        </w:rPr>
      </w:pPr>
    </w:p>
    <w:p>
      <w:pPr>
        <w:ind w:left="7360"/>
        <w:spacing w:after="0"/>
        <w:rPr>
          <w:sz w:val="20"/>
          <w:szCs w:val="20"/>
          <w:color w:val="auto"/>
        </w:rPr>
      </w:pPr>
      <w:r>
        <w:rPr>
          <w:rFonts w:ascii="Arial" w:cs="Arial" w:eastAsia="Arial" w:hAnsi="Arial"/>
          <w:sz w:val="17"/>
          <w:szCs w:val="17"/>
          <w:color w:val="auto"/>
        </w:rPr>
        <w:t>Officer</w:t>
      </w: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POWER OF ATTORNEY AND SIGNATURES</w:t>
      </w:r>
    </w:p>
    <w:p>
      <w:pPr>
        <w:spacing w:after="0" w:line="30"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KNOW ALL BY THESE PRESENT, that each individual whose signature appears below hereby constitutes and appoints each of John Leonard, M.D., José E. Rivera, J.D. and Glenn Goddard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on Form S-8,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3" w:lineRule="exact"/>
        <w:rPr>
          <w:sz w:val="20"/>
          <w:szCs w:val="20"/>
          <w:color w:val="auto"/>
        </w:rPr>
      </w:pPr>
    </w:p>
    <w:p>
      <w:pPr>
        <w:ind w:right="400"/>
        <w:spacing w:after="0" w:line="269" w:lineRule="auto"/>
        <w:rPr>
          <w:sz w:val="20"/>
          <w:szCs w:val="20"/>
          <w:color w:val="auto"/>
        </w:rPr>
      </w:pPr>
      <w:r>
        <w:rPr>
          <w:rFonts w:ascii="Arial" w:cs="Arial" w:eastAsia="Arial" w:hAnsi="Arial"/>
          <w:sz w:val="17"/>
          <w:szCs w:val="17"/>
          <w:color w:val="auto"/>
        </w:rPr>
        <w:t>Pursuant to the requirements of the Securities Act of 1933, this Registration Statement has been signed by the following person in the capacities and on the date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20" w:type="dxa"/>
            <w:vAlign w:val="bottom"/>
          </w:tcPr>
          <w:p>
            <w:pPr>
              <w:spacing w:after="0"/>
              <w:rPr>
                <w:sz w:val="19"/>
                <w:szCs w:val="19"/>
                <w:color w:val="auto"/>
              </w:rPr>
            </w:pPr>
          </w:p>
        </w:tc>
        <w:tc>
          <w:tcPr>
            <w:tcW w:w="3800" w:type="dxa"/>
            <w:vAlign w:val="bottom"/>
          </w:tcPr>
          <w:p>
            <w:pPr>
              <w:jc w:val="center"/>
              <w:ind w:right="94"/>
              <w:spacing w:after="0"/>
              <w:rPr>
                <w:sz w:val="20"/>
                <w:szCs w:val="20"/>
                <w:color w:val="auto"/>
              </w:rPr>
            </w:pPr>
            <w:r>
              <w:rPr>
                <w:rFonts w:ascii="Arial" w:cs="Arial" w:eastAsia="Arial" w:hAnsi="Arial"/>
                <w:sz w:val="17"/>
                <w:szCs w:val="17"/>
                <w:b w:val="1"/>
                <w:bCs w:val="1"/>
                <w:color w:val="auto"/>
                <w:w w:val="90"/>
              </w:rPr>
              <w:t>Name</w:t>
            </w:r>
          </w:p>
        </w:tc>
        <w:tc>
          <w:tcPr>
            <w:tcW w:w="4180" w:type="dxa"/>
            <w:vAlign w:val="bottom"/>
          </w:tcPr>
          <w:p>
            <w:pPr>
              <w:ind w:left="2240"/>
              <w:spacing w:after="0"/>
              <w:rPr>
                <w:sz w:val="20"/>
                <w:szCs w:val="20"/>
                <w:color w:val="auto"/>
              </w:rPr>
            </w:pPr>
            <w:r>
              <w:rPr>
                <w:rFonts w:ascii="Arial" w:cs="Arial" w:eastAsia="Arial" w:hAnsi="Arial"/>
                <w:sz w:val="17"/>
                <w:szCs w:val="17"/>
                <w:b w:val="1"/>
                <w:bCs w:val="1"/>
                <w:color w:val="auto"/>
              </w:rPr>
              <w:t>Title</w:t>
            </w:r>
          </w:p>
        </w:tc>
        <w:tc>
          <w:tcPr>
            <w:tcW w:w="2860" w:type="dxa"/>
            <w:vAlign w:val="bottom"/>
          </w:tcPr>
          <w:p>
            <w:pPr>
              <w:ind w:left="1380"/>
              <w:spacing w:after="0"/>
              <w:rPr>
                <w:sz w:val="20"/>
                <w:szCs w:val="20"/>
                <w:color w:val="auto"/>
              </w:rPr>
            </w:pPr>
            <w:r>
              <w:rPr>
                <w:rFonts w:ascii="Arial" w:cs="Arial" w:eastAsia="Arial" w:hAnsi="Arial"/>
                <w:sz w:val="17"/>
                <w:szCs w:val="17"/>
                <w:b w:val="1"/>
                <w:bCs w:val="1"/>
                <w:color w:val="auto"/>
              </w:rPr>
              <w:t>Date</w:t>
            </w:r>
          </w:p>
        </w:tc>
      </w:tr>
      <w:tr>
        <w:trPr>
          <w:trHeight w:val="415"/>
        </w:trPr>
        <w:tc>
          <w:tcPr>
            <w:tcW w:w="620" w:type="dxa"/>
            <w:vAlign w:val="bottom"/>
          </w:tcPr>
          <w:p>
            <w:pPr>
              <w:spacing w:after="0"/>
              <w:rPr>
                <w:sz w:val="24"/>
                <w:szCs w:val="24"/>
                <w:color w:val="auto"/>
              </w:rPr>
            </w:pPr>
          </w:p>
        </w:tc>
        <w:tc>
          <w:tcPr>
            <w:tcW w:w="3800" w:type="dxa"/>
            <w:vAlign w:val="bottom"/>
            <w:tcBorders>
              <w:bottom w:val="single" w:sz="8" w:color="auto"/>
            </w:tcBorders>
          </w:tcPr>
          <w:p>
            <w:pPr>
              <w:jc w:val="center"/>
              <w:ind w:right="94"/>
              <w:spacing w:after="0"/>
              <w:rPr>
                <w:sz w:val="20"/>
                <w:szCs w:val="20"/>
                <w:color w:val="auto"/>
              </w:rPr>
            </w:pPr>
            <w:r>
              <w:rPr>
                <w:rFonts w:ascii="Arial" w:cs="Arial" w:eastAsia="Arial" w:hAnsi="Arial"/>
                <w:sz w:val="17"/>
                <w:szCs w:val="17"/>
                <w:color w:val="auto"/>
                <w:w w:val="89"/>
              </w:rPr>
              <w:t>/s/ John Leonard</w:t>
            </w:r>
          </w:p>
        </w:tc>
        <w:tc>
          <w:tcPr>
            <w:tcW w:w="4180" w:type="dxa"/>
            <w:vAlign w:val="bottom"/>
          </w:tcPr>
          <w:p>
            <w:pPr>
              <w:ind w:left="100"/>
              <w:spacing w:after="0"/>
              <w:rPr>
                <w:sz w:val="20"/>
                <w:szCs w:val="20"/>
                <w:color w:val="auto"/>
              </w:rPr>
            </w:pPr>
            <w:r>
              <w:rPr>
                <w:rFonts w:ascii="Arial" w:cs="Arial" w:eastAsia="Arial" w:hAnsi="Arial"/>
                <w:sz w:val="17"/>
                <w:szCs w:val="17"/>
                <w:color w:val="auto"/>
              </w:rPr>
              <w:t>President, Chief Executive Officer and Director</w:t>
            </w:r>
          </w:p>
        </w:tc>
        <w:tc>
          <w:tcPr>
            <w:tcW w:w="2860" w:type="dxa"/>
            <w:vAlign w:val="bottom"/>
          </w:tcPr>
          <w:p>
            <w:pPr>
              <w:ind w:left="640"/>
              <w:spacing w:after="0"/>
              <w:rPr>
                <w:sz w:val="20"/>
                <w:szCs w:val="20"/>
                <w:color w:val="auto"/>
              </w:rPr>
            </w:pPr>
            <w:r>
              <w:rPr>
                <w:rFonts w:ascii="Arial" w:cs="Arial" w:eastAsia="Arial" w:hAnsi="Arial"/>
                <w:sz w:val="17"/>
                <w:szCs w:val="17"/>
                <w:color w:val="auto"/>
              </w:rPr>
              <w:t>February 27, 2020</w:t>
            </w:r>
          </w:p>
        </w:tc>
      </w:tr>
      <w:tr>
        <w:trPr>
          <w:trHeight w:val="213"/>
        </w:trPr>
        <w:tc>
          <w:tcPr>
            <w:tcW w:w="620" w:type="dxa"/>
            <w:vAlign w:val="bottom"/>
          </w:tcPr>
          <w:p>
            <w:pPr>
              <w:spacing w:after="0"/>
              <w:rPr>
                <w:sz w:val="18"/>
                <w:szCs w:val="18"/>
                <w:color w:val="auto"/>
              </w:rPr>
            </w:pPr>
          </w:p>
        </w:tc>
        <w:tc>
          <w:tcPr>
            <w:tcW w:w="3800" w:type="dxa"/>
            <w:vAlign w:val="bottom"/>
          </w:tcPr>
          <w:p>
            <w:pPr>
              <w:jc w:val="center"/>
              <w:ind w:right="114"/>
              <w:spacing w:after="0"/>
              <w:rPr>
                <w:sz w:val="20"/>
                <w:szCs w:val="20"/>
                <w:color w:val="auto"/>
              </w:rPr>
            </w:pPr>
            <w:r>
              <w:rPr>
                <w:rFonts w:ascii="Arial" w:cs="Arial" w:eastAsia="Arial" w:hAnsi="Arial"/>
                <w:sz w:val="17"/>
                <w:szCs w:val="17"/>
                <w:color w:val="auto"/>
                <w:w w:val="93"/>
              </w:rPr>
              <w:t>John Leonard, M.D.</w:t>
            </w:r>
          </w:p>
        </w:tc>
        <w:tc>
          <w:tcPr>
            <w:tcW w:w="4180" w:type="dxa"/>
            <w:vAlign w:val="bottom"/>
          </w:tcPr>
          <w:p>
            <w:pPr>
              <w:ind w:left="100"/>
              <w:spacing w:after="0"/>
              <w:rPr>
                <w:sz w:val="20"/>
                <w:szCs w:val="20"/>
                <w:color w:val="auto"/>
              </w:rPr>
            </w:pPr>
            <w:r>
              <w:rPr>
                <w:rFonts w:ascii="Arial" w:cs="Arial" w:eastAsia="Arial" w:hAnsi="Arial"/>
                <w:sz w:val="17"/>
                <w:szCs w:val="17"/>
                <w:i w:val="1"/>
                <w:iCs w:val="1"/>
                <w:color w:val="auto"/>
              </w:rPr>
              <w:t>(Principal Executive Officer)</w:t>
            </w:r>
          </w:p>
        </w:tc>
        <w:tc>
          <w:tcPr>
            <w:tcW w:w="2860" w:type="dxa"/>
            <w:vAlign w:val="bottom"/>
          </w:tcPr>
          <w:p>
            <w:pPr>
              <w:spacing w:after="0"/>
              <w:rPr>
                <w:sz w:val="18"/>
                <w:szCs w:val="18"/>
                <w:color w:val="auto"/>
              </w:rPr>
            </w:pPr>
          </w:p>
        </w:tc>
      </w:tr>
      <w:tr>
        <w:trPr>
          <w:trHeight w:val="415"/>
        </w:trPr>
        <w:tc>
          <w:tcPr>
            <w:tcW w:w="620" w:type="dxa"/>
            <w:vAlign w:val="bottom"/>
          </w:tcPr>
          <w:p>
            <w:pPr>
              <w:spacing w:after="0"/>
              <w:rPr>
                <w:sz w:val="24"/>
                <w:szCs w:val="24"/>
                <w:color w:val="auto"/>
              </w:rPr>
            </w:pPr>
          </w:p>
        </w:tc>
        <w:tc>
          <w:tcPr>
            <w:tcW w:w="3800" w:type="dxa"/>
            <w:vAlign w:val="bottom"/>
            <w:tcBorders>
              <w:bottom w:val="single" w:sz="8" w:color="auto"/>
            </w:tcBorders>
          </w:tcPr>
          <w:p>
            <w:pPr>
              <w:jc w:val="center"/>
              <w:ind w:right="114"/>
              <w:spacing w:after="0"/>
              <w:rPr>
                <w:sz w:val="20"/>
                <w:szCs w:val="20"/>
                <w:color w:val="auto"/>
              </w:rPr>
            </w:pPr>
            <w:r>
              <w:rPr>
                <w:rFonts w:ascii="Arial" w:cs="Arial" w:eastAsia="Arial" w:hAnsi="Arial"/>
                <w:sz w:val="17"/>
                <w:szCs w:val="17"/>
                <w:color w:val="auto"/>
                <w:w w:val="92"/>
              </w:rPr>
              <w:t>/s/ Glenn Goddard</w:t>
            </w:r>
          </w:p>
        </w:tc>
        <w:tc>
          <w:tcPr>
            <w:tcW w:w="4180" w:type="dxa"/>
            <w:vAlign w:val="bottom"/>
          </w:tcPr>
          <w:p>
            <w:pPr>
              <w:ind w:left="100"/>
              <w:spacing w:after="0"/>
              <w:rPr>
                <w:sz w:val="20"/>
                <w:szCs w:val="20"/>
                <w:color w:val="auto"/>
              </w:rPr>
            </w:pPr>
            <w:r>
              <w:rPr>
                <w:rFonts w:ascii="Arial" w:cs="Arial" w:eastAsia="Arial" w:hAnsi="Arial"/>
                <w:sz w:val="17"/>
                <w:szCs w:val="17"/>
                <w:color w:val="auto"/>
              </w:rPr>
              <w:t>Executive Vice President, Chief Financial Officer</w:t>
            </w:r>
          </w:p>
        </w:tc>
        <w:tc>
          <w:tcPr>
            <w:tcW w:w="2860" w:type="dxa"/>
            <w:vAlign w:val="bottom"/>
          </w:tcPr>
          <w:p>
            <w:pPr>
              <w:ind w:left="640"/>
              <w:spacing w:after="0"/>
              <w:rPr>
                <w:sz w:val="20"/>
                <w:szCs w:val="20"/>
                <w:color w:val="auto"/>
              </w:rPr>
            </w:pPr>
            <w:r>
              <w:rPr>
                <w:rFonts w:ascii="Arial" w:cs="Arial" w:eastAsia="Arial" w:hAnsi="Arial"/>
                <w:sz w:val="17"/>
                <w:szCs w:val="17"/>
                <w:color w:val="auto"/>
              </w:rPr>
              <w:t>February 27, 2020</w:t>
            </w:r>
          </w:p>
        </w:tc>
      </w:tr>
      <w:tr>
        <w:trPr>
          <w:trHeight w:val="213"/>
        </w:trPr>
        <w:tc>
          <w:tcPr>
            <w:tcW w:w="620" w:type="dxa"/>
            <w:vAlign w:val="bottom"/>
          </w:tcPr>
          <w:p>
            <w:pPr>
              <w:spacing w:after="0"/>
              <w:rPr>
                <w:sz w:val="18"/>
                <w:szCs w:val="18"/>
                <w:color w:val="auto"/>
              </w:rPr>
            </w:pPr>
          </w:p>
        </w:tc>
        <w:tc>
          <w:tcPr>
            <w:tcW w:w="3800" w:type="dxa"/>
            <w:vAlign w:val="bottom"/>
          </w:tcPr>
          <w:p>
            <w:pPr>
              <w:jc w:val="center"/>
              <w:ind w:right="94"/>
              <w:spacing w:after="0"/>
              <w:rPr>
                <w:sz w:val="20"/>
                <w:szCs w:val="20"/>
                <w:color w:val="auto"/>
              </w:rPr>
            </w:pPr>
            <w:r>
              <w:rPr>
                <w:rFonts w:ascii="Arial" w:cs="Arial" w:eastAsia="Arial" w:hAnsi="Arial"/>
                <w:sz w:val="17"/>
                <w:szCs w:val="17"/>
                <w:color w:val="auto"/>
                <w:w w:val="91"/>
              </w:rPr>
              <w:t>Glenn Goddard</w:t>
            </w:r>
          </w:p>
        </w:tc>
        <w:tc>
          <w:tcPr>
            <w:tcW w:w="4180" w:type="dxa"/>
            <w:vAlign w:val="bottom"/>
          </w:tcPr>
          <w:p>
            <w:pPr>
              <w:ind w:left="100"/>
              <w:spacing w:after="0"/>
              <w:rPr>
                <w:sz w:val="20"/>
                <w:szCs w:val="20"/>
                <w:color w:val="auto"/>
              </w:rPr>
            </w:pPr>
            <w:r>
              <w:rPr>
                <w:rFonts w:ascii="Arial" w:cs="Arial" w:eastAsia="Arial" w:hAnsi="Arial"/>
                <w:sz w:val="17"/>
                <w:szCs w:val="17"/>
                <w:i w:val="1"/>
                <w:iCs w:val="1"/>
                <w:color w:val="auto"/>
              </w:rPr>
              <w:t>(Principal Financial and Accounting Officer)</w:t>
            </w:r>
          </w:p>
        </w:tc>
        <w:tc>
          <w:tcPr>
            <w:tcW w:w="2860" w:type="dxa"/>
            <w:vAlign w:val="bottom"/>
          </w:tcPr>
          <w:p>
            <w:pPr>
              <w:spacing w:after="0"/>
              <w:rPr>
                <w:sz w:val="18"/>
                <w:szCs w:val="18"/>
                <w:color w:val="auto"/>
              </w:rPr>
            </w:pPr>
          </w:p>
        </w:tc>
      </w:tr>
      <w:tr>
        <w:trPr>
          <w:trHeight w:val="415"/>
        </w:trPr>
        <w:tc>
          <w:tcPr>
            <w:tcW w:w="620" w:type="dxa"/>
            <w:vAlign w:val="bottom"/>
          </w:tcPr>
          <w:p>
            <w:pPr>
              <w:spacing w:after="0"/>
              <w:rPr>
                <w:sz w:val="24"/>
                <w:szCs w:val="24"/>
                <w:color w:val="auto"/>
              </w:rPr>
            </w:pPr>
          </w:p>
        </w:tc>
        <w:tc>
          <w:tcPr>
            <w:tcW w:w="3800" w:type="dxa"/>
            <w:vAlign w:val="bottom"/>
            <w:tcBorders>
              <w:bottom w:val="single" w:sz="8" w:color="auto"/>
            </w:tcBorders>
          </w:tcPr>
          <w:p>
            <w:pPr>
              <w:jc w:val="center"/>
              <w:ind w:right="94"/>
              <w:spacing w:after="0"/>
              <w:rPr>
                <w:sz w:val="20"/>
                <w:szCs w:val="20"/>
                <w:color w:val="auto"/>
              </w:rPr>
            </w:pPr>
            <w:r>
              <w:rPr>
                <w:rFonts w:ascii="Arial" w:cs="Arial" w:eastAsia="Arial" w:hAnsi="Arial"/>
                <w:sz w:val="17"/>
                <w:szCs w:val="17"/>
                <w:color w:val="auto"/>
                <w:w w:val="90"/>
              </w:rPr>
              <w:t>/s/ Fred Cohen</w:t>
            </w:r>
          </w:p>
        </w:tc>
        <w:tc>
          <w:tcPr>
            <w:tcW w:w="4180" w:type="dxa"/>
            <w:vAlign w:val="bottom"/>
          </w:tcPr>
          <w:p>
            <w:pPr>
              <w:ind w:left="40"/>
              <w:spacing w:after="0"/>
              <w:rPr>
                <w:sz w:val="20"/>
                <w:szCs w:val="20"/>
                <w:color w:val="auto"/>
              </w:rPr>
            </w:pPr>
            <w:r>
              <w:rPr>
                <w:rFonts w:ascii="Arial" w:cs="Arial" w:eastAsia="Arial" w:hAnsi="Arial"/>
                <w:sz w:val="17"/>
                <w:szCs w:val="17"/>
                <w:color w:val="auto"/>
              </w:rPr>
              <w:t>Director</w:t>
            </w:r>
          </w:p>
        </w:tc>
        <w:tc>
          <w:tcPr>
            <w:tcW w:w="2860" w:type="dxa"/>
            <w:vAlign w:val="bottom"/>
          </w:tcPr>
          <w:p>
            <w:pPr>
              <w:ind w:left="660"/>
              <w:spacing w:after="0"/>
              <w:rPr>
                <w:sz w:val="20"/>
                <w:szCs w:val="20"/>
                <w:color w:val="auto"/>
              </w:rPr>
            </w:pPr>
            <w:r>
              <w:rPr>
                <w:rFonts w:ascii="Arial" w:cs="Arial" w:eastAsia="Arial" w:hAnsi="Arial"/>
                <w:sz w:val="17"/>
                <w:szCs w:val="17"/>
                <w:color w:val="auto"/>
              </w:rPr>
              <w:t>February 27, 2020</w:t>
            </w:r>
          </w:p>
        </w:tc>
      </w:tr>
      <w:tr>
        <w:trPr>
          <w:trHeight w:val="213"/>
        </w:trPr>
        <w:tc>
          <w:tcPr>
            <w:tcW w:w="620" w:type="dxa"/>
            <w:vAlign w:val="bottom"/>
          </w:tcPr>
          <w:p>
            <w:pPr>
              <w:spacing w:after="0"/>
              <w:rPr>
                <w:sz w:val="18"/>
                <w:szCs w:val="18"/>
                <w:color w:val="auto"/>
              </w:rPr>
            </w:pPr>
          </w:p>
        </w:tc>
        <w:tc>
          <w:tcPr>
            <w:tcW w:w="3800" w:type="dxa"/>
            <w:vAlign w:val="bottom"/>
          </w:tcPr>
          <w:p>
            <w:pPr>
              <w:jc w:val="center"/>
              <w:ind w:right="114"/>
              <w:spacing w:after="0"/>
              <w:rPr>
                <w:sz w:val="20"/>
                <w:szCs w:val="20"/>
                <w:color w:val="auto"/>
              </w:rPr>
            </w:pPr>
            <w:r>
              <w:rPr>
                <w:rFonts w:ascii="Arial" w:cs="Arial" w:eastAsia="Arial" w:hAnsi="Arial"/>
                <w:sz w:val="17"/>
                <w:szCs w:val="17"/>
                <w:color w:val="auto"/>
                <w:w w:val="94"/>
              </w:rPr>
              <w:t>Fred Cohen, M.D., D.Phil.</w:t>
            </w:r>
          </w:p>
        </w:tc>
        <w:tc>
          <w:tcPr>
            <w:tcW w:w="418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415"/>
        </w:trPr>
        <w:tc>
          <w:tcPr>
            <w:tcW w:w="620" w:type="dxa"/>
            <w:vAlign w:val="bottom"/>
          </w:tcPr>
          <w:p>
            <w:pPr>
              <w:spacing w:after="0"/>
              <w:rPr>
                <w:sz w:val="24"/>
                <w:szCs w:val="24"/>
                <w:color w:val="auto"/>
              </w:rPr>
            </w:pPr>
          </w:p>
        </w:tc>
        <w:tc>
          <w:tcPr>
            <w:tcW w:w="3800" w:type="dxa"/>
            <w:vAlign w:val="bottom"/>
            <w:tcBorders>
              <w:bottom w:val="single" w:sz="8" w:color="auto"/>
            </w:tcBorders>
          </w:tcPr>
          <w:p>
            <w:pPr>
              <w:jc w:val="center"/>
              <w:ind w:right="94"/>
              <w:spacing w:after="0"/>
              <w:rPr>
                <w:sz w:val="20"/>
                <w:szCs w:val="20"/>
                <w:color w:val="auto"/>
              </w:rPr>
            </w:pPr>
            <w:r>
              <w:rPr>
                <w:rFonts w:ascii="Arial" w:cs="Arial" w:eastAsia="Arial" w:hAnsi="Arial"/>
                <w:sz w:val="17"/>
                <w:szCs w:val="17"/>
                <w:color w:val="auto"/>
                <w:w w:val="92"/>
              </w:rPr>
              <w:t>/s/ Caroline Dorsa</w:t>
            </w:r>
          </w:p>
        </w:tc>
        <w:tc>
          <w:tcPr>
            <w:tcW w:w="4180" w:type="dxa"/>
            <w:vAlign w:val="bottom"/>
          </w:tcPr>
          <w:p>
            <w:pPr>
              <w:ind w:left="100"/>
              <w:spacing w:after="0"/>
              <w:rPr>
                <w:sz w:val="20"/>
                <w:szCs w:val="20"/>
                <w:color w:val="auto"/>
              </w:rPr>
            </w:pPr>
            <w:r>
              <w:rPr>
                <w:rFonts w:ascii="Arial" w:cs="Arial" w:eastAsia="Arial" w:hAnsi="Arial"/>
                <w:sz w:val="17"/>
                <w:szCs w:val="17"/>
                <w:color w:val="auto"/>
              </w:rPr>
              <w:t>Director</w:t>
            </w:r>
          </w:p>
        </w:tc>
        <w:tc>
          <w:tcPr>
            <w:tcW w:w="2860" w:type="dxa"/>
            <w:vAlign w:val="bottom"/>
          </w:tcPr>
          <w:p>
            <w:pPr>
              <w:ind w:left="640"/>
              <w:spacing w:after="0"/>
              <w:rPr>
                <w:sz w:val="20"/>
                <w:szCs w:val="20"/>
                <w:color w:val="auto"/>
              </w:rPr>
            </w:pPr>
            <w:r>
              <w:rPr>
                <w:rFonts w:ascii="Arial" w:cs="Arial" w:eastAsia="Arial" w:hAnsi="Arial"/>
                <w:sz w:val="17"/>
                <w:szCs w:val="17"/>
                <w:color w:val="auto"/>
              </w:rPr>
              <w:t>February 27, 2020</w:t>
            </w:r>
          </w:p>
        </w:tc>
      </w:tr>
      <w:tr>
        <w:trPr>
          <w:trHeight w:val="213"/>
        </w:trPr>
        <w:tc>
          <w:tcPr>
            <w:tcW w:w="620" w:type="dxa"/>
            <w:vAlign w:val="bottom"/>
          </w:tcPr>
          <w:p>
            <w:pPr>
              <w:spacing w:after="0"/>
              <w:rPr>
                <w:sz w:val="18"/>
                <w:szCs w:val="18"/>
                <w:color w:val="auto"/>
              </w:rPr>
            </w:pPr>
          </w:p>
        </w:tc>
        <w:tc>
          <w:tcPr>
            <w:tcW w:w="3800" w:type="dxa"/>
            <w:vAlign w:val="bottom"/>
          </w:tcPr>
          <w:p>
            <w:pPr>
              <w:jc w:val="center"/>
              <w:ind w:right="94"/>
              <w:spacing w:after="0"/>
              <w:rPr>
                <w:sz w:val="20"/>
                <w:szCs w:val="20"/>
                <w:color w:val="auto"/>
              </w:rPr>
            </w:pPr>
            <w:r>
              <w:rPr>
                <w:rFonts w:ascii="Arial" w:cs="Arial" w:eastAsia="Arial" w:hAnsi="Arial"/>
                <w:sz w:val="17"/>
                <w:szCs w:val="17"/>
                <w:color w:val="auto"/>
                <w:w w:val="93"/>
              </w:rPr>
              <w:t>Caroline Dorsa</w:t>
            </w:r>
          </w:p>
        </w:tc>
        <w:tc>
          <w:tcPr>
            <w:tcW w:w="418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415"/>
        </w:trPr>
        <w:tc>
          <w:tcPr>
            <w:tcW w:w="620" w:type="dxa"/>
            <w:vAlign w:val="bottom"/>
          </w:tcPr>
          <w:p>
            <w:pPr>
              <w:spacing w:after="0"/>
              <w:rPr>
                <w:sz w:val="24"/>
                <w:szCs w:val="24"/>
                <w:color w:val="auto"/>
              </w:rPr>
            </w:pPr>
          </w:p>
        </w:tc>
        <w:tc>
          <w:tcPr>
            <w:tcW w:w="3800" w:type="dxa"/>
            <w:vAlign w:val="bottom"/>
            <w:tcBorders>
              <w:bottom w:val="single" w:sz="8" w:color="auto"/>
            </w:tcBorders>
          </w:tcPr>
          <w:p>
            <w:pPr>
              <w:jc w:val="center"/>
              <w:ind w:right="94"/>
              <w:spacing w:after="0"/>
              <w:rPr>
                <w:sz w:val="20"/>
                <w:szCs w:val="20"/>
                <w:color w:val="auto"/>
              </w:rPr>
            </w:pPr>
            <w:r>
              <w:rPr>
                <w:rFonts w:ascii="Arial" w:cs="Arial" w:eastAsia="Arial" w:hAnsi="Arial"/>
                <w:sz w:val="17"/>
                <w:szCs w:val="17"/>
                <w:color w:val="auto"/>
                <w:w w:val="90"/>
              </w:rPr>
              <w:t>/s/ Jean François Formela</w:t>
            </w:r>
          </w:p>
        </w:tc>
        <w:tc>
          <w:tcPr>
            <w:tcW w:w="4180" w:type="dxa"/>
            <w:vAlign w:val="bottom"/>
          </w:tcPr>
          <w:p>
            <w:pPr>
              <w:ind w:left="100"/>
              <w:spacing w:after="0"/>
              <w:rPr>
                <w:sz w:val="20"/>
                <w:szCs w:val="20"/>
                <w:color w:val="auto"/>
              </w:rPr>
            </w:pPr>
            <w:r>
              <w:rPr>
                <w:rFonts w:ascii="Arial" w:cs="Arial" w:eastAsia="Arial" w:hAnsi="Arial"/>
                <w:sz w:val="17"/>
                <w:szCs w:val="17"/>
                <w:color w:val="auto"/>
              </w:rPr>
              <w:t>Director</w:t>
            </w:r>
          </w:p>
        </w:tc>
        <w:tc>
          <w:tcPr>
            <w:tcW w:w="2860" w:type="dxa"/>
            <w:vAlign w:val="bottom"/>
          </w:tcPr>
          <w:p>
            <w:pPr>
              <w:ind w:left="640"/>
              <w:spacing w:after="0"/>
              <w:rPr>
                <w:sz w:val="20"/>
                <w:szCs w:val="20"/>
                <w:color w:val="auto"/>
              </w:rPr>
            </w:pPr>
            <w:r>
              <w:rPr>
                <w:rFonts w:ascii="Arial" w:cs="Arial" w:eastAsia="Arial" w:hAnsi="Arial"/>
                <w:sz w:val="17"/>
                <w:szCs w:val="17"/>
                <w:color w:val="auto"/>
              </w:rPr>
              <w:t>February 27, 2020</w:t>
            </w:r>
          </w:p>
        </w:tc>
      </w:tr>
      <w:tr>
        <w:trPr>
          <w:trHeight w:val="213"/>
        </w:trPr>
        <w:tc>
          <w:tcPr>
            <w:tcW w:w="620" w:type="dxa"/>
            <w:vAlign w:val="bottom"/>
          </w:tcPr>
          <w:p>
            <w:pPr>
              <w:spacing w:after="0"/>
              <w:rPr>
                <w:sz w:val="18"/>
                <w:szCs w:val="18"/>
                <w:color w:val="auto"/>
              </w:rPr>
            </w:pPr>
          </w:p>
        </w:tc>
        <w:tc>
          <w:tcPr>
            <w:tcW w:w="3800" w:type="dxa"/>
            <w:vAlign w:val="bottom"/>
          </w:tcPr>
          <w:p>
            <w:pPr>
              <w:jc w:val="center"/>
              <w:ind w:right="94"/>
              <w:spacing w:after="0"/>
              <w:rPr>
                <w:sz w:val="20"/>
                <w:szCs w:val="20"/>
                <w:color w:val="auto"/>
              </w:rPr>
            </w:pPr>
            <w:r>
              <w:rPr>
                <w:rFonts w:ascii="Arial" w:cs="Arial" w:eastAsia="Arial" w:hAnsi="Arial"/>
                <w:sz w:val="17"/>
                <w:szCs w:val="17"/>
                <w:color w:val="auto"/>
                <w:w w:val="92"/>
              </w:rPr>
              <w:t>Jean François Formela, M.D.</w:t>
            </w:r>
          </w:p>
        </w:tc>
        <w:tc>
          <w:tcPr>
            <w:tcW w:w="418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415"/>
        </w:trPr>
        <w:tc>
          <w:tcPr>
            <w:tcW w:w="620" w:type="dxa"/>
            <w:vAlign w:val="bottom"/>
          </w:tcPr>
          <w:p>
            <w:pPr>
              <w:spacing w:after="0"/>
              <w:rPr>
                <w:sz w:val="24"/>
                <w:szCs w:val="24"/>
                <w:color w:val="auto"/>
              </w:rPr>
            </w:pPr>
          </w:p>
        </w:tc>
        <w:tc>
          <w:tcPr>
            <w:tcW w:w="3800" w:type="dxa"/>
            <w:vAlign w:val="bottom"/>
            <w:tcBorders>
              <w:bottom w:val="single" w:sz="8" w:color="auto"/>
            </w:tcBorders>
          </w:tcPr>
          <w:p>
            <w:pPr>
              <w:jc w:val="center"/>
              <w:ind w:right="114"/>
              <w:spacing w:after="0"/>
              <w:rPr>
                <w:sz w:val="20"/>
                <w:szCs w:val="20"/>
                <w:color w:val="auto"/>
              </w:rPr>
            </w:pPr>
            <w:r>
              <w:rPr>
                <w:rFonts w:ascii="Arial" w:cs="Arial" w:eastAsia="Arial" w:hAnsi="Arial"/>
                <w:sz w:val="17"/>
                <w:szCs w:val="17"/>
                <w:color w:val="auto"/>
                <w:w w:val="87"/>
              </w:rPr>
              <w:t>/s/ Jesse Goodman</w:t>
            </w:r>
          </w:p>
        </w:tc>
        <w:tc>
          <w:tcPr>
            <w:tcW w:w="4180" w:type="dxa"/>
            <w:vAlign w:val="bottom"/>
          </w:tcPr>
          <w:p>
            <w:pPr>
              <w:ind w:left="100"/>
              <w:spacing w:after="0"/>
              <w:rPr>
                <w:sz w:val="20"/>
                <w:szCs w:val="20"/>
                <w:color w:val="auto"/>
              </w:rPr>
            </w:pPr>
            <w:r>
              <w:rPr>
                <w:rFonts w:ascii="Arial" w:cs="Arial" w:eastAsia="Arial" w:hAnsi="Arial"/>
                <w:sz w:val="17"/>
                <w:szCs w:val="17"/>
                <w:color w:val="auto"/>
              </w:rPr>
              <w:t>Director</w:t>
            </w:r>
          </w:p>
        </w:tc>
        <w:tc>
          <w:tcPr>
            <w:tcW w:w="2860" w:type="dxa"/>
            <w:vAlign w:val="bottom"/>
          </w:tcPr>
          <w:p>
            <w:pPr>
              <w:ind w:left="640"/>
              <w:spacing w:after="0"/>
              <w:rPr>
                <w:sz w:val="20"/>
                <w:szCs w:val="20"/>
                <w:color w:val="auto"/>
              </w:rPr>
            </w:pPr>
            <w:r>
              <w:rPr>
                <w:rFonts w:ascii="Arial" w:cs="Arial" w:eastAsia="Arial" w:hAnsi="Arial"/>
                <w:sz w:val="17"/>
                <w:szCs w:val="17"/>
                <w:color w:val="auto"/>
              </w:rPr>
              <w:t>February 27, 2020</w:t>
            </w:r>
          </w:p>
        </w:tc>
      </w:tr>
      <w:tr>
        <w:trPr>
          <w:trHeight w:val="213"/>
        </w:trPr>
        <w:tc>
          <w:tcPr>
            <w:tcW w:w="620" w:type="dxa"/>
            <w:vAlign w:val="bottom"/>
          </w:tcPr>
          <w:p>
            <w:pPr>
              <w:spacing w:after="0"/>
              <w:rPr>
                <w:sz w:val="18"/>
                <w:szCs w:val="18"/>
                <w:color w:val="auto"/>
              </w:rPr>
            </w:pPr>
          </w:p>
        </w:tc>
        <w:tc>
          <w:tcPr>
            <w:tcW w:w="3800" w:type="dxa"/>
            <w:vAlign w:val="bottom"/>
          </w:tcPr>
          <w:p>
            <w:pPr>
              <w:jc w:val="center"/>
              <w:ind w:right="94"/>
              <w:spacing w:after="0"/>
              <w:rPr>
                <w:sz w:val="20"/>
                <w:szCs w:val="20"/>
                <w:color w:val="auto"/>
              </w:rPr>
            </w:pPr>
            <w:r>
              <w:rPr>
                <w:rFonts w:ascii="Arial" w:cs="Arial" w:eastAsia="Arial" w:hAnsi="Arial"/>
                <w:sz w:val="17"/>
                <w:szCs w:val="17"/>
                <w:color w:val="auto"/>
                <w:w w:val="91"/>
              </w:rPr>
              <w:t>Jesse Goodman, M.D.</w:t>
            </w:r>
          </w:p>
        </w:tc>
        <w:tc>
          <w:tcPr>
            <w:tcW w:w="418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524"/>
        </w:trPr>
        <w:tc>
          <w:tcPr>
            <w:tcW w:w="62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29" w:right="1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0"/>
        </w:trPr>
        <w:tc>
          <w:tcPr>
            <w:tcW w:w="3800" w:type="dxa"/>
            <w:vAlign w:val="bottom"/>
            <w:tcBorders>
              <w:bottom w:val="single" w:sz="8" w:color="auto"/>
            </w:tcBorders>
          </w:tcPr>
          <w:p>
            <w:pPr>
              <w:jc w:val="center"/>
              <w:ind w:right="94"/>
              <w:spacing w:after="0"/>
              <w:rPr>
                <w:sz w:val="20"/>
                <w:szCs w:val="20"/>
                <w:color w:val="auto"/>
              </w:rPr>
            </w:pPr>
            <w:r>
              <w:rPr>
                <w:rFonts w:ascii="Arial" w:cs="Arial" w:eastAsia="Arial" w:hAnsi="Arial"/>
                <w:sz w:val="17"/>
                <w:szCs w:val="17"/>
                <w:color w:val="auto"/>
                <w:w w:val="90"/>
              </w:rPr>
              <w:t>/s/ Perry Karsen</w:t>
            </w:r>
          </w:p>
        </w:tc>
        <w:tc>
          <w:tcPr>
            <w:tcW w:w="2740" w:type="dxa"/>
            <w:vAlign w:val="bottom"/>
          </w:tcPr>
          <w:p>
            <w:pPr>
              <w:ind w:left="100"/>
              <w:spacing w:after="0"/>
              <w:rPr>
                <w:sz w:val="20"/>
                <w:szCs w:val="20"/>
                <w:color w:val="auto"/>
              </w:rPr>
            </w:pPr>
            <w:r>
              <w:rPr>
                <w:rFonts w:ascii="Arial" w:cs="Arial" w:eastAsia="Arial" w:hAnsi="Arial"/>
                <w:sz w:val="17"/>
                <w:szCs w:val="17"/>
                <w:color w:val="auto"/>
              </w:rPr>
              <w:t>Director</w:t>
            </w:r>
          </w:p>
        </w:tc>
        <w:tc>
          <w:tcPr>
            <w:tcW w:w="3340" w:type="dxa"/>
            <w:vAlign w:val="bottom"/>
          </w:tcPr>
          <w:p>
            <w:pPr>
              <w:ind w:left="2080"/>
              <w:spacing w:after="0"/>
              <w:rPr>
                <w:sz w:val="20"/>
                <w:szCs w:val="20"/>
                <w:color w:val="auto"/>
              </w:rPr>
            </w:pPr>
            <w:r>
              <w:rPr>
                <w:rFonts w:ascii="Arial" w:cs="Arial" w:eastAsia="Arial" w:hAnsi="Arial"/>
                <w:sz w:val="17"/>
                <w:szCs w:val="17"/>
                <w:color w:val="auto"/>
                <w:w w:val="89"/>
              </w:rPr>
              <w:t>February 27, 2020</w:t>
            </w:r>
          </w:p>
        </w:tc>
      </w:tr>
      <w:tr>
        <w:trPr>
          <w:trHeight w:val="213"/>
        </w:trPr>
        <w:tc>
          <w:tcPr>
            <w:tcW w:w="3800" w:type="dxa"/>
            <w:vAlign w:val="bottom"/>
          </w:tcPr>
          <w:p>
            <w:pPr>
              <w:jc w:val="center"/>
              <w:ind w:right="94"/>
              <w:spacing w:after="0"/>
              <w:rPr>
                <w:sz w:val="20"/>
                <w:szCs w:val="20"/>
                <w:color w:val="auto"/>
              </w:rPr>
            </w:pPr>
            <w:r>
              <w:rPr>
                <w:rFonts w:ascii="Arial" w:cs="Arial" w:eastAsia="Arial" w:hAnsi="Arial"/>
                <w:sz w:val="17"/>
                <w:szCs w:val="17"/>
                <w:color w:val="auto"/>
                <w:w w:val="90"/>
              </w:rPr>
              <w:t>Perry Karsen</w:t>
            </w:r>
          </w:p>
        </w:tc>
        <w:tc>
          <w:tcPr>
            <w:tcW w:w="274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415"/>
        </w:trPr>
        <w:tc>
          <w:tcPr>
            <w:tcW w:w="3800" w:type="dxa"/>
            <w:vAlign w:val="bottom"/>
            <w:tcBorders>
              <w:bottom w:val="single" w:sz="8" w:color="auto"/>
            </w:tcBorders>
          </w:tcPr>
          <w:p>
            <w:pPr>
              <w:jc w:val="center"/>
              <w:ind w:right="94"/>
              <w:spacing w:after="0"/>
              <w:rPr>
                <w:sz w:val="20"/>
                <w:szCs w:val="20"/>
                <w:color w:val="auto"/>
              </w:rPr>
            </w:pPr>
            <w:r>
              <w:rPr>
                <w:rFonts w:ascii="Arial" w:cs="Arial" w:eastAsia="Arial" w:hAnsi="Arial"/>
                <w:sz w:val="17"/>
                <w:szCs w:val="17"/>
                <w:color w:val="auto"/>
                <w:w w:val="93"/>
              </w:rPr>
              <w:t>/s/ Frank Verwiel</w:t>
            </w:r>
          </w:p>
        </w:tc>
        <w:tc>
          <w:tcPr>
            <w:tcW w:w="2740" w:type="dxa"/>
            <w:vAlign w:val="bottom"/>
          </w:tcPr>
          <w:p>
            <w:pPr>
              <w:ind w:left="100"/>
              <w:spacing w:after="0"/>
              <w:rPr>
                <w:sz w:val="20"/>
                <w:szCs w:val="20"/>
                <w:color w:val="auto"/>
              </w:rPr>
            </w:pPr>
            <w:r>
              <w:rPr>
                <w:rFonts w:ascii="Arial" w:cs="Arial" w:eastAsia="Arial" w:hAnsi="Arial"/>
                <w:sz w:val="17"/>
                <w:szCs w:val="17"/>
                <w:color w:val="auto"/>
              </w:rPr>
              <w:t>Director</w:t>
            </w:r>
          </w:p>
        </w:tc>
        <w:tc>
          <w:tcPr>
            <w:tcW w:w="3340" w:type="dxa"/>
            <w:vAlign w:val="bottom"/>
          </w:tcPr>
          <w:p>
            <w:pPr>
              <w:spacing w:after="0"/>
              <w:rPr>
                <w:sz w:val="24"/>
                <w:szCs w:val="24"/>
                <w:color w:val="auto"/>
              </w:rPr>
            </w:pPr>
          </w:p>
        </w:tc>
      </w:tr>
      <w:tr>
        <w:trPr>
          <w:trHeight w:val="213"/>
        </w:trPr>
        <w:tc>
          <w:tcPr>
            <w:tcW w:w="3800" w:type="dxa"/>
            <w:vAlign w:val="bottom"/>
          </w:tcPr>
          <w:p>
            <w:pPr>
              <w:jc w:val="center"/>
              <w:ind w:right="114"/>
              <w:spacing w:after="0"/>
              <w:rPr>
                <w:sz w:val="20"/>
                <w:szCs w:val="20"/>
                <w:color w:val="auto"/>
              </w:rPr>
            </w:pPr>
            <w:r>
              <w:rPr>
                <w:rFonts w:ascii="Arial" w:cs="Arial" w:eastAsia="Arial" w:hAnsi="Arial"/>
                <w:sz w:val="17"/>
                <w:szCs w:val="17"/>
                <w:color w:val="auto"/>
                <w:w w:val="96"/>
              </w:rPr>
              <w:t>Frank Verwiel, M.D.</w:t>
            </w:r>
          </w:p>
        </w:tc>
        <w:tc>
          <w:tcPr>
            <w:tcW w:w="2740" w:type="dxa"/>
            <w:vAlign w:val="bottom"/>
          </w:tcPr>
          <w:p>
            <w:pPr>
              <w:spacing w:after="0"/>
              <w:rPr>
                <w:sz w:val="18"/>
                <w:szCs w:val="18"/>
                <w:color w:val="auto"/>
              </w:rPr>
            </w:pPr>
          </w:p>
        </w:tc>
        <w:tc>
          <w:tcPr>
            <w:tcW w:w="3340" w:type="dxa"/>
            <w:vAlign w:val="bottom"/>
          </w:tcPr>
          <w:p>
            <w:pPr>
              <w:ind w:left="2080"/>
              <w:spacing w:after="0"/>
              <w:rPr>
                <w:sz w:val="20"/>
                <w:szCs w:val="20"/>
                <w:color w:val="auto"/>
              </w:rPr>
            </w:pPr>
            <w:r>
              <w:rPr>
                <w:rFonts w:ascii="Arial" w:cs="Arial" w:eastAsia="Arial" w:hAnsi="Arial"/>
                <w:sz w:val="17"/>
                <w:szCs w:val="17"/>
                <w:color w:val="auto"/>
                <w:w w:val="89"/>
              </w:rPr>
              <w:t>February 27, 2020</w:t>
            </w:r>
          </w:p>
        </w:tc>
      </w:tr>
    </w:tbl>
    <w:p>
      <w:pPr>
        <w:sectPr>
          <w:pgSz w:w="11900" w:h="16838" w:orient="portrait"/>
          <w:cols w:equalWidth="0" w:num="1">
            <w:col w:w="9880"/>
          </w:cols>
          <w:pgMar w:left="860" w:top="542" w:right="1159" w:bottom="1440" w:gutter="0" w:footer="0" w:header="0"/>
        </w:sectPr>
      </w:pPr>
    </w:p>
    <w:bookmarkStart w:id="5" w:name="page6"/>
    <w:bookmarkEnd w:id="5"/>
    <w:p>
      <w:pPr>
        <w:jc w:val="right"/>
        <w:spacing w:after="0"/>
        <w:rPr>
          <w:sz w:val="20"/>
          <w:szCs w:val="20"/>
          <w:color w:val="auto"/>
        </w:rPr>
      </w:pPr>
      <w:r>
        <w:rPr>
          <w:rFonts w:ascii="Arial" w:cs="Arial" w:eastAsia="Arial" w:hAnsi="Arial"/>
          <w:sz w:val="21"/>
          <w:szCs w:val="21"/>
          <w:color w:val="auto"/>
        </w:rPr>
        <w:t>Exhibit 5.1</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21"/>
          <w:szCs w:val="21"/>
          <w:color w:val="auto"/>
        </w:rPr>
        <w:t>February 27, 2020</w:t>
      </w:r>
    </w:p>
    <w:p>
      <w:pPr>
        <w:spacing w:after="0" w:line="231" w:lineRule="auto"/>
        <w:rPr>
          <w:sz w:val="20"/>
          <w:szCs w:val="20"/>
          <w:color w:val="auto"/>
        </w:rPr>
      </w:pPr>
      <w:r>
        <w:rPr>
          <w:rFonts w:ascii="Arial" w:cs="Arial" w:eastAsia="Arial" w:hAnsi="Arial"/>
          <w:sz w:val="21"/>
          <w:szCs w:val="21"/>
          <w:color w:val="auto"/>
        </w:rPr>
        <w:t>Intellia Therapeutics, Inc.</w:t>
      </w:r>
    </w:p>
    <w:p>
      <w:pPr>
        <w:spacing w:after="0" w:line="232" w:lineRule="auto"/>
        <w:rPr>
          <w:sz w:val="20"/>
          <w:szCs w:val="20"/>
          <w:color w:val="auto"/>
        </w:rPr>
      </w:pPr>
      <w:r>
        <w:rPr>
          <w:rFonts w:ascii="Arial" w:cs="Arial" w:eastAsia="Arial" w:hAnsi="Arial"/>
          <w:sz w:val="21"/>
          <w:szCs w:val="21"/>
          <w:color w:val="auto"/>
        </w:rPr>
        <w:t>40 Erie Street, Suite 130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Cambridge, MA 02139</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21"/>
          <w:szCs w:val="21"/>
          <w:color w:val="auto"/>
        </w:rPr>
        <w:t>Re:</w:t>
      </w:r>
      <w:r>
        <w:rPr>
          <w:sz w:val="20"/>
          <w:szCs w:val="20"/>
          <w:color w:val="auto"/>
        </w:rPr>
        <w:tab/>
      </w:r>
      <w:r>
        <w:rPr>
          <w:rFonts w:ascii="Arial" w:cs="Arial" w:eastAsia="Arial" w:hAnsi="Arial"/>
          <w:sz w:val="21"/>
          <w:szCs w:val="21"/>
          <w:u w:val="single" w:color="auto"/>
          <w:color w:val="auto"/>
        </w:rPr>
        <w:t>Securities Being Registered under 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color w:val="auto"/>
        </w:rPr>
        <w:t>Ladies and Gentlemen:</w:t>
      </w:r>
    </w:p>
    <w:p>
      <w:pPr>
        <w:spacing w:after="0" w:line="225" w:lineRule="exact"/>
        <w:rPr>
          <w:sz w:val="20"/>
          <w:szCs w:val="20"/>
          <w:color w:val="auto"/>
        </w:rPr>
      </w:pPr>
    </w:p>
    <w:p>
      <w:pPr>
        <w:ind w:right="20" w:firstLine="878"/>
        <w:spacing w:after="0" w:line="238" w:lineRule="auto"/>
        <w:rPr>
          <w:sz w:val="20"/>
          <w:szCs w:val="20"/>
          <w:color w:val="auto"/>
        </w:rPr>
      </w:pPr>
      <w:r>
        <w:rPr>
          <w:rFonts w:ascii="Arial" w:cs="Arial" w:eastAsia="Arial" w:hAnsi="Arial"/>
          <w:sz w:val="21"/>
          <w:szCs w:val="21"/>
          <w:color w:val="auto"/>
        </w:rPr>
        <w:t>We have acted as counsel to you in connection with your filing of a Registration Statement on Form S-8 (the “Registration Statement”) pursuant to the Securities Act of 1933, as amended (the “Securities Act”), on or about the date hereof relating to an aggregate of 2,007,922 shares (the “2015 Plan Shares”) of Common Stock, $0.0001 par value per share (“Common Stock”), of Intellia Therapeutics, Inc., a Delaware corporation (the “Company”), that may be issued pursuant to the Company’s Amended and Restated 2015 Stock Option and Incentive Plan (the “2015 Plan”).</w:t>
      </w:r>
    </w:p>
    <w:p>
      <w:pPr>
        <w:spacing w:after="0" w:line="203" w:lineRule="exact"/>
        <w:rPr>
          <w:sz w:val="20"/>
          <w:szCs w:val="20"/>
          <w:color w:val="auto"/>
        </w:rPr>
      </w:pPr>
    </w:p>
    <w:p>
      <w:pPr>
        <w:jc w:val="both"/>
        <w:ind w:right="60" w:firstLine="878"/>
        <w:spacing w:after="0" w:line="243" w:lineRule="auto"/>
        <w:rPr>
          <w:sz w:val="20"/>
          <w:szCs w:val="20"/>
          <w:color w:val="auto"/>
        </w:rPr>
      </w:pPr>
      <w:r>
        <w:rPr>
          <w:rFonts w:ascii="Arial" w:cs="Arial" w:eastAsia="Arial" w:hAnsi="Arial"/>
          <w:sz w:val="21"/>
          <w:szCs w:val="21"/>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The opinion set forth below is limited to the Delaware General Corporation Law.</w:t>
      </w:r>
    </w:p>
    <w:p>
      <w:pPr>
        <w:spacing w:after="0" w:line="225" w:lineRule="exact"/>
        <w:rPr>
          <w:sz w:val="20"/>
          <w:szCs w:val="20"/>
          <w:color w:val="auto"/>
        </w:rPr>
      </w:pPr>
    </w:p>
    <w:p>
      <w:pPr>
        <w:ind w:right="20" w:firstLine="878"/>
        <w:spacing w:after="0" w:line="307" w:lineRule="auto"/>
        <w:rPr>
          <w:sz w:val="20"/>
          <w:szCs w:val="20"/>
          <w:color w:val="auto"/>
        </w:rPr>
      </w:pPr>
      <w:r>
        <w:rPr>
          <w:rFonts w:ascii="Arial" w:cs="Arial" w:eastAsia="Arial" w:hAnsi="Arial"/>
          <w:sz w:val="19"/>
          <w:szCs w:val="19"/>
          <w:color w:val="auto"/>
        </w:rPr>
        <w:t>For purposes of the opinion set forth below, we have assumed that no event occurs that causes the number of authorized shares of Common Stock available for issuance by the Company to be less than the number of then unissued Shares.</w:t>
      </w:r>
    </w:p>
    <w:p>
      <w:pPr>
        <w:spacing w:after="0" w:line="141" w:lineRule="exact"/>
        <w:rPr>
          <w:sz w:val="20"/>
          <w:szCs w:val="20"/>
          <w:color w:val="auto"/>
        </w:rPr>
      </w:pPr>
    </w:p>
    <w:p>
      <w:pPr>
        <w:jc w:val="both"/>
        <w:ind w:right="380" w:firstLine="878"/>
        <w:spacing w:after="0" w:line="337" w:lineRule="auto"/>
        <w:rPr>
          <w:sz w:val="20"/>
          <w:szCs w:val="20"/>
          <w:color w:val="auto"/>
        </w:rPr>
      </w:pPr>
      <w:r>
        <w:rPr>
          <w:rFonts w:ascii="Arial" w:cs="Arial" w:eastAsia="Arial" w:hAnsi="Arial"/>
          <w:sz w:val="18"/>
          <w:szCs w:val="18"/>
          <w:color w:val="auto"/>
        </w:rPr>
        <w:t>Based on the foregoing, we are of the opinion that the 2015 Plan Shares have been duly authorized and, upon issuance and delivery against payment therefor in accordance with the terms of the 2015 Plan, will be validly issued, fully paid and nonassessable.</w:t>
      </w:r>
    </w:p>
    <w:p>
      <w:pPr>
        <w:spacing w:after="0" w:line="119" w:lineRule="exact"/>
        <w:rPr>
          <w:sz w:val="20"/>
          <w:szCs w:val="20"/>
          <w:color w:val="auto"/>
        </w:rPr>
      </w:pPr>
    </w:p>
    <w:p>
      <w:pPr>
        <w:ind w:right="180" w:firstLine="878"/>
        <w:spacing w:after="0" w:line="243" w:lineRule="auto"/>
        <w:rPr>
          <w:sz w:val="20"/>
          <w:szCs w:val="20"/>
          <w:color w:val="auto"/>
        </w:rPr>
      </w:pPr>
      <w:r>
        <w:rPr>
          <w:rFonts w:ascii="Arial" w:cs="Arial" w:eastAsia="Arial" w:hAnsi="Arial"/>
          <w:sz w:val="21"/>
          <w:szCs w:val="21"/>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200" w:lineRule="exact"/>
        <w:rPr>
          <w:sz w:val="20"/>
          <w:szCs w:val="20"/>
          <w:color w:val="auto"/>
        </w:rPr>
      </w:pPr>
    </w:p>
    <w:p>
      <w:pPr>
        <w:ind w:left="6160"/>
        <w:spacing w:after="0"/>
        <w:rPr>
          <w:sz w:val="20"/>
          <w:szCs w:val="20"/>
          <w:color w:val="auto"/>
        </w:rPr>
      </w:pPr>
      <w:r>
        <w:rPr>
          <w:rFonts w:ascii="Arial" w:cs="Arial" w:eastAsia="Arial" w:hAnsi="Arial"/>
          <w:sz w:val="21"/>
          <w:szCs w:val="21"/>
          <w:color w:val="auto"/>
        </w:rPr>
        <w:t>Very truly yours,</w:t>
      </w:r>
    </w:p>
    <w:p>
      <w:pPr>
        <w:spacing w:after="0" w:line="225" w:lineRule="exact"/>
        <w:rPr>
          <w:sz w:val="20"/>
          <w:szCs w:val="20"/>
          <w:color w:val="auto"/>
        </w:rPr>
      </w:pPr>
    </w:p>
    <w:p>
      <w:pPr>
        <w:ind w:left="6160"/>
        <w:spacing w:after="0"/>
        <w:rPr>
          <w:sz w:val="20"/>
          <w:szCs w:val="20"/>
          <w:color w:val="auto"/>
        </w:rPr>
      </w:pPr>
      <w:r>
        <w:rPr>
          <w:rFonts w:ascii="Arial" w:cs="Arial" w:eastAsia="Arial" w:hAnsi="Arial"/>
          <w:sz w:val="21"/>
          <w:szCs w:val="21"/>
          <w:color w:val="auto"/>
        </w:rPr>
        <w:t>/s/ Goodwin Procter LLP</w:t>
      </w:r>
    </w:p>
    <w:p>
      <w:pPr>
        <w:spacing w:after="0" w:line="225" w:lineRule="exact"/>
        <w:rPr>
          <w:sz w:val="20"/>
          <w:szCs w:val="20"/>
          <w:color w:val="auto"/>
        </w:rPr>
      </w:pPr>
    </w:p>
    <w:p>
      <w:pPr>
        <w:ind w:left="6160"/>
        <w:spacing w:after="0"/>
        <w:rPr>
          <w:sz w:val="20"/>
          <w:szCs w:val="20"/>
          <w:color w:val="auto"/>
        </w:rPr>
      </w:pPr>
      <w:r>
        <w:rPr>
          <w:rFonts w:ascii="Arial" w:cs="Arial" w:eastAsia="Arial" w:hAnsi="Arial"/>
          <w:sz w:val="21"/>
          <w:szCs w:val="21"/>
          <w:color w:val="auto"/>
        </w:rPr>
        <w:t>GOODWIN PROCTER LLP</w:t>
      </w:r>
    </w:p>
    <w:p>
      <w:pPr>
        <w:sectPr>
          <w:pgSz w:w="11900" w:h="16838" w:orient="portrait"/>
          <w:cols w:equalWidth="0" w:num="1">
            <w:col w:w="11420"/>
          </w:cols>
          <w:pgMar w:left="240" w:top="326"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21"/>
          <w:szCs w:val="21"/>
          <w:b w:val="1"/>
          <w:bCs w:val="1"/>
          <w:u w:val="single" w:color="auto"/>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CONSENT OF INDEPENDENT REGISTERED PUBLIC ACCOUNTING FIRM</w:t>
      </w:r>
    </w:p>
    <w:p>
      <w:pPr>
        <w:spacing w:after="0" w:line="205"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We consent to the incorporation by reference in this Registration Statement on Form S-8 of our reports dated February 27, 2020, relating to the financial statements of Intellia Therapeutics, Inc. and the effectiveness of Intellia Therapeutics, Inc.'s internal control over financial reporting, appearing in the Annual Report on Form 10-K of Intellia Therapeutics, Inc. for the year ended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color w:val="auto"/>
        </w:rPr>
        <w:t>/s/ Deloitte &amp; Touche LLP</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Boston, Massachusetts</w:t>
      </w:r>
    </w:p>
    <w:p>
      <w:pPr>
        <w:spacing w:after="0"/>
        <w:rPr>
          <w:sz w:val="20"/>
          <w:szCs w:val="20"/>
          <w:color w:val="auto"/>
        </w:rPr>
      </w:pPr>
      <w:r>
        <w:rPr>
          <w:rFonts w:ascii="Arial" w:cs="Arial" w:eastAsia="Arial" w:hAnsi="Arial"/>
          <w:sz w:val="21"/>
          <w:szCs w:val="21"/>
          <w:color w:val="auto"/>
        </w:rPr>
        <w:t>February 27, 2020</w:t>
      </w:r>
    </w:p>
    <w:sectPr>
      <w:pgSz w:w="11900" w:h="16838" w:orient="portrait"/>
      <w:cols w:equalWidth="0" w:num="1">
        <w:col w:w="11420"/>
      </w:cols>
      <w:pgMar w:left="240" w:top="9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18" Type="http://schemas.openxmlformats.org/officeDocument/2006/relationships/hyperlink" Target="http://www.sec.gov/Archives/edgar/data/0001652130/000119312516582025/d187899ds8.htm" TargetMode="External"/><Relationship Id="rId19" Type="http://schemas.openxmlformats.org/officeDocument/2006/relationships/hyperlink" Target="http://www.sec.gov/Archives/edgar/data/0001652130/000119312516593332/d194360dex41.htm" TargetMode="External"/><Relationship Id="rId20" Type="http://schemas.openxmlformats.org/officeDocument/2006/relationships/hyperlink" Target="http://www.sec.gov/Archives/edgar/data/0001652130/000119312516593332/d194360dex31.htm" TargetMode="External"/><Relationship Id="rId21" Type="http://schemas.openxmlformats.org/officeDocument/2006/relationships/hyperlink" Target="http://www.sec.gov/Archives/edgar/data/0001652130/000119312516593332/d194360dex32.htm" TargetMode="External"/><Relationship Id="rId22" Type="http://schemas.openxmlformats.org/officeDocument/2006/relationships/hyperlink" Target="http://www.sec.gov/Archives/edgar/data/0001652130/000119312516537163/d67753dex41.htm" TargetMode="External"/><Relationship Id="rId23" Type="http://schemas.openxmlformats.org/officeDocument/2006/relationships/hyperlink" Target="http://www.sec.gov/Archives/edgar/data/0001652130/000119312516538753/d67753dex42.htm" TargetMode="External"/><Relationship Id="rId24" Type="http://schemas.openxmlformats.org/officeDocument/2006/relationships/hyperlink" Target="http://www.sec.gov/Archives/edgar/data/0001652130/000119312516558271/d67753dex43.htm" TargetMode="External"/><Relationship Id="rId25" Type="http://schemas.openxmlformats.org/officeDocument/2006/relationships/hyperlink" Target="http://www.sec.gov/Archives/edgar/data/0001652130/000119312516558271/d6775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2020-02-27T18:13:51Z</dcterms:created>
  <dcterms:modified xsi:type="dcterms:W3CDTF">2020-02-27T18:13:51Z</dcterms:modified>
</cp:coreProperties>
</file>