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984"/>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1" w:lineRule="exact"/>
        <w:rPr>
          <w:sz w:val="24"/>
          <w:szCs w:val="24"/>
          <w:color w:val="auto"/>
        </w:rPr>
      </w:pPr>
    </w:p>
    <w:p>
      <w:pPr>
        <w:jc w:val="center"/>
        <w:ind w:right="-984"/>
        <w:spacing w:after="0"/>
        <w:rPr>
          <w:sz w:val="20"/>
          <w:szCs w:val="20"/>
          <w:color w:val="auto"/>
        </w:rPr>
      </w:pPr>
      <w:r>
        <w:rPr>
          <w:rFonts w:ascii="Arial" w:cs="Arial" w:eastAsia="Arial" w:hAnsi="Arial"/>
          <w:sz w:val="32"/>
          <w:szCs w:val="32"/>
          <w:b w:val="1"/>
          <w:bCs w:val="1"/>
          <w:color w:val="auto"/>
        </w:rPr>
        <w:t>SECURITIES AND EXCHANGE COMMISSION</w:t>
      </w:r>
    </w:p>
    <w:p>
      <w:pPr>
        <w:ind w:left="4404"/>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218440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13" w:lineRule="exact"/>
        <w:rPr>
          <w:sz w:val="24"/>
          <w:szCs w:val="24"/>
          <w:color w:val="auto"/>
        </w:rPr>
      </w:pPr>
    </w:p>
    <w:p>
      <w:pPr>
        <w:jc w:val="center"/>
        <w:ind w:right="-984"/>
        <w:spacing w:after="0"/>
        <w:rPr>
          <w:sz w:val="20"/>
          <w:szCs w:val="20"/>
          <w:color w:val="auto"/>
        </w:rPr>
      </w:pPr>
      <w:r>
        <w:rPr>
          <w:rFonts w:ascii="Arial" w:cs="Arial" w:eastAsia="Arial" w:hAnsi="Arial"/>
          <w:sz w:val="32"/>
          <w:szCs w:val="32"/>
          <w:b w:val="1"/>
          <w:bCs w:val="1"/>
          <w:color w:val="auto"/>
        </w:rPr>
        <w:t>SCHEDULE 14A INFORMATION</w:t>
      </w:r>
    </w:p>
    <w:p>
      <w:pPr>
        <w:spacing w:after="0" w:line="24" w:lineRule="exact"/>
        <w:rPr>
          <w:sz w:val="24"/>
          <w:szCs w:val="24"/>
          <w:color w:val="auto"/>
        </w:rPr>
      </w:pPr>
    </w:p>
    <w:p>
      <w:pPr>
        <w:jc w:val="center"/>
        <w:ind w:right="-984"/>
        <w:spacing w:after="0"/>
        <w:rPr>
          <w:sz w:val="20"/>
          <w:szCs w:val="20"/>
          <w:color w:val="auto"/>
        </w:rPr>
      </w:pPr>
      <w:r>
        <w:rPr>
          <w:rFonts w:ascii="Arial" w:cs="Arial" w:eastAsia="Arial" w:hAnsi="Arial"/>
          <w:sz w:val="22"/>
          <w:szCs w:val="22"/>
          <w:b w:val="1"/>
          <w:bCs w:val="1"/>
          <w:color w:val="auto"/>
        </w:rPr>
        <w:t>Proxy Statement Pursuant to Section 14(a) of the</w:t>
      </w:r>
    </w:p>
    <w:p>
      <w:pPr>
        <w:jc w:val="center"/>
        <w:ind w:right="-984"/>
        <w:spacing w:after="0"/>
        <w:rPr>
          <w:sz w:val="20"/>
          <w:szCs w:val="20"/>
          <w:color w:val="auto"/>
        </w:rPr>
      </w:pPr>
      <w:r>
        <w:rPr>
          <w:rFonts w:ascii="Arial" w:cs="Arial" w:eastAsia="Arial" w:hAnsi="Arial"/>
          <w:sz w:val="22"/>
          <w:szCs w:val="22"/>
          <w:b w:val="1"/>
          <w:bCs w:val="1"/>
          <w:color w:val="auto"/>
        </w:rPr>
        <w:t>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218440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95" w:lineRule="exact"/>
        <w:rPr>
          <w:sz w:val="24"/>
          <w:szCs w:val="24"/>
          <w:color w:val="auto"/>
        </w:rPr>
      </w:pPr>
    </w:p>
    <w:p>
      <w:pPr>
        <w:ind w:left="4"/>
        <w:spacing w:after="0" w:line="207" w:lineRule="exact"/>
        <w:rPr>
          <w:sz w:val="20"/>
          <w:szCs w:val="20"/>
          <w:color w:val="auto"/>
        </w:rPr>
      </w:pPr>
      <w:r>
        <w:rPr>
          <w:rFonts w:ascii="Arial" w:cs="Arial" w:eastAsia="Arial" w:hAnsi="Arial"/>
          <w:sz w:val="18"/>
          <w:szCs w:val="18"/>
          <w:color w:val="auto"/>
        </w:rPr>
        <w:t xml:space="preserve">Filed by the Registrant </w:t>
      </w:r>
      <w:r>
        <w:rPr>
          <w:rFonts w:ascii="MS PGothic" w:cs="MS PGothic" w:eastAsia="MS PGothic" w:hAnsi="MS PGothic"/>
          <w:sz w:val="18"/>
          <w:szCs w:val="18"/>
          <w:color w:val="auto"/>
        </w:rPr>
        <w:t>☒</w:t>
      </w:r>
    </w:p>
    <w:p>
      <w:pPr>
        <w:spacing w:after="0" w:line="225" w:lineRule="exact"/>
        <w:rPr>
          <w:sz w:val="24"/>
          <w:szCs w:val="24"/>
          <w:color w:val="auto"/>
        </w:rPr>
      </w:pPr>
    </w:p>
    <w:p>
      <w:pPr>
        <w:ind w:left="4"/>
        <w:spacing w:after="0" w:line="207" w:lineRule="exact"/>
        <w:rPr>
          <w:sz w:val="20"/>
          <w:szCs w:val="20"/>
          <w:color w:val="auto"/>
        </w:rPr>
      </w:pPr>
      <w:r>
        <w:rPr>
          <w:rFonts w:ascii="Arial" w:cs="Arial" w:eastAsia="Arial" w:hAnsi="Arial"/>
          <w:sz w:val="18"/>
          <w:szCs w:val="18"/>
          <w:color w:val="auto"/>
        </w:rPr>
        <w:t xml:space="preserve">Filed by a Party other than the Registrant </w:t>
      </w:r>
      <w:r>
        <w:rPr>
          <w:rFonts w:ascii="MS PGothic" w:cs="MS PGothic" w:eastAsia="MS PGothic" w:hAnsi="MS PGothic"/>
          <w:sz w:val="18"/>
          <w:szCs w:val="18"/>
          <w:color w:val="auto"/>
        </w:rPr>
        <w:t>☐</w:t>
      </w:r>
    </w:p>
    <w:p>
      <w:pPr>
        <w:spacing w:after="0" w:line="200" w:lineRule="exact"/>
        <w:rPr>
          <w:sz w:val="24"/>
          <w:szCs w:val="24"/>
          <w:color w:val="auto"/>
        </w:rPr>
      </w:pPr>
    </w:p>
    <w:p>
      <w:pPr>
        <w:spacing w:after="0" w:line="286" w:lineRule="exact"/>
        <w:rPr>
          <w:sz w:val="24"/>
          <w:szCs w:val="24"/>
          <w:color w:val="auto"/>
        </w:rPr>
      </w:pPr>
    </w:p>
    <w:p>
      <w:pPr>
        <w:ind w:left="4"/>
        <w:spacing w:after="0"/>
        <w:rPr>
          <w:sz w:val="20"/>
          <w:szCs w:val="20"/>
          <w:color w:val="auto"/>
        </w:rPr>
      </w:pPr>
      <w:r>
        <w:rPr>
          <w:rFonts w:ascii="Arial" w:cs="Arial" w:eastAsia="Arial" w:hAnsi="Arial"/>
          <w:sz w:val="18"/>
          <w:szCs w:val="18"/>
          <w:color w:val="auto"/>
        </w:rPr>
        <w:t>Check the appropriate box:</w:t>
      </w:r>
    </w:p>
    <w:p>
      <w:pPr>
        <w:spacing w:after="0" w:line="252" w:lineRule="exact"/>
        <w:rPr>
          <w:sz w:val="24"/>
          <w:szCs w:val="24"/>
          <w:color w:val="auto"/>
        </w:rPr>
      </w:pPr>
    </w:p>
    <w:p>
      <w:pPr>
        <w:ind w:left="444" w:hanging="444"/>
        <w:spacing w:after="0"/>
        <w:tabs>
          <w:tab w:leader="none" w:pos="44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Preliminary Proxy Statement</w:t>
      </w:r>
    </w:p>
    <w:p>
      <w:pPr>
        <w:spacing w:after="0" w:line="248" w:lineRule="exact"/>
        <w:rPr>
          <w:rFonts w:ascii="MS PGothic" w:cs="MS PGothic" w:eastAsia="MS PGothic" w:hAnsi="MS PGothic"/>
          <w:sz w:val="18"/>
          <w:szCs w:val="18"/>
          <w:color w:val="auto"/>
        </w:rPr>
      </w:pPr>
    </w:p>
    <w:p>
      <w:pPr>
        <w:ind w:left="444" w:hanging="444"/>
        <w:spacing w:after="0"/>
        <w:tabs>
          <w:tab w:leader="none" w:pos="444"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Confidential, for Use of the Commission Only (as permitted by Rule 14a-6(e)(2))</w:t>
      </w:r>
    </w:p>
    <w:p>
      <w:pPr>
        <w:spacing w:after="0" w:line="256" w:lineRule="exact"/>
        <w:rPr>
          <w:rFonts w:ascii="MS PGothic" w:cs="MS PGothic" w:eastAsia="MS PGothic" w:hAnsi="MS PGothic"/>
          <w:sz w:val="18"/>
          <w:szCs w:val="18"/>
          <w:color w:val="auto"/>
        </w:rPr>
      </w:pPr>
    </w:p>
    <w:p>
      <w:pPr>
        <w:ind w:left="444" w:hanging="444"/>
        <w:spacing w:after="0"/>
        <w:tabs>
          <w:tab w:leader="none" w:pos="44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Definitive Proxy Statement</w:t>
      </w:r>
    </w:p>
    <w:p>
      <w:pPr>
        <w:spacing w:after="0" w:line="252" w:lineRule="exact"/>
        <w:rPr>
          <w:sz w:val="24"/>
          <w:szCs w:val="24"/>
          <w:color w:val="auto"/>
        </w:rPr>
      </w:pPr>
    </w:p>
    <w:p>
      <w:pPr>
        <w:ind w:left="444" w:hanging="444"/>
        <w:spacing w:after="0"/>
        <w:tabs>
          <w:tab w:leader="none" w:pos="444"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Definitive Additional Materials</w:t>
      </w:r>
    </w:p>
    <w:p>
      <w:pPr>
        <w:spacing w:after="0" w:line="252" w:lineRule="exact"/>
        <w:rPr>
          <w:sz w:val="24"/>
          <w:szCs w:val="24"/>
          <w:color w:val="auto"/>
        </w:rPr>
      </w:pPr>
    </w:p>
    <w:p>
      <w:pPr>
        <w:ind w:left="444" w:hanging="444"/>
        <w:spacing w:after="0"/>
        <w:tabs>
          <w:tab w:leader="none" w:pos="444"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§240.14a-12</w:t>
      </w:r>
    </w:p>
    <w:p>
      <w:pPr>
        <w:spacing w:after="0" w:line="198" w:lineRule="exact"/>
        <w:rPr>
          <w:sz w:val="24"/>
          <w:szCs w:val="24"/>
          <w:color w:val="auto"/>
        </w:rPr>
      </w:pPr>
    </w:p>
    <w:p>
      <w:pPr>
        <w:jc w:val="center"/>
        <w:ind w:right="-984"/>
        <w:spacing w:after="0"/>
        <w:rPr>
          <w:sz w:val="20"/>
          <w:szCs w:val="20"/>
          <w:color w:val="auto"/>
        </w:rPr>
      </w:pPr>
      <w:r>
        <w:rPr>
          <w:rFonts w:ascii="Arial" w:cs="Arial" w:eastAsia="Arial" w:hAnsi="Arial"/>
          <w:sz w:val="32"/>
          <w:szCs w:val="32"/>
          <w:b w:val="1"/>
          <w:bCs w:val="1"/>
          <w:color w:val="auto"/>
        </w:rPr>
        <w:t>INTELLIA THERAPEUTICS, INC.</w:t>
      </w:r>
    </w:p>
    <w:p>
      <w:pPr>
        <w:spacing w:after="0" w:line="39" w:lineRule="exact"/>
        <w:rPr>
          <w:sz w:val="24"/>
          <w:szCs w:val="24"/>
          <w:color w:val="auto"/>
        </w:rPr>
      </w:pPr>
    </w:p>
    <w:p>
      <w:pPr>
        <w:jc w:val="center"/>
        <w:ind w:right="-984"/>
        <w:spacing w:after="0"/>
        <w:rPr>
          <w:sz w:val="20"/>
          <w:szCs w:val="20"/>
          <w:color w:val="auto"/>
        </w:rPr>
      </w:pPr>
      <w:r>
        <w:rPr>
          <w:rFonts w:ascii="Arial" w:cs="Arial" w:eastAsia="Arial" w:hAnsi="Arial"/>
          <w:sz w:val="18"/>
          <w:szCs w:val="18"/>
          <w:b w:val="1"/>
          <w:bCs w:val="1"/>
          <w:color w:val="auto"/>
        </w:rPr>
        <w:t>(Name of registrant as specified in its charter)</w:t>
      </w:r>
    </w:p>
    <w:p>
      <w:pPr>
        <w:spacing w:after="0" w:line="205" w:lineRule="exact"/>
        <w:rPr>
          <w:sz w:val="24"/>
          <w:szCs w:val="24"/>
          <w:color w:val="auto"/>
        </w:rPr>
      </w:pPr>
    </w:p>
    <w:p>
      <w:pPr>
        <w:ind w:left="2744"/>
        <w:spacing w:after="0"/>
        <w:rPr>
          <w:sz w:val="20"/>
          <w:szCs w:val="20"/>
          <w:color w:val="auto"/>
        </w:rPr>
      </w:pPr>
      <w:r>
        <w:rPr>
          <w:rFonts w:ascii="Arial" w:cs="Arial" w:eastAsia="Arial" w:hAnsi="Arial"/>
          <w:sz w:val="18"/>
          <w:szCs w:val="18"/>
          <w:b w:val="1"/>
          <w:bCs w:val="1"/>
          <w:color w:val="auto"/>
        </w:rPr>
        <w:t>(Name of Person(s) Filing Proxy Statement, if other than the Registrant)</w:t>
      </w:r>
    </w:p>
    <w:p>
      <w:pPr>
        <w:spacing w:after="0" w:line="229" w:lineRule="exact"/>
        <w:rPr>
          <w:sz w:val="24"/>
          <w:szCs w:val="24"/>
          <w:color w:val="auto"/>
        </w:rPr>
      </w:pPr>
    </w:p>
    <w:p>
      <w:pPr>
        <w:ind w:left="4"/>
        <w:spacing w:after="0"/>
        <w:rPr>
          <w:sz w:val="20"/>
          <w:szCs w:val="20"/>
          <w:color w:val="auto"/>
        </w:rPr>
      </w:pPr>
      <w:r>
        <w:rPr>
          <w:rFonts w:ascii="Arial" w:cs="Arial" w:eastAsia="Arial" w:hAnsi="Arial"/>
          <w:sz w:val="18"/>
          <w:szCs w:val="18"/>
          <w:color w:val="auto"/>
        </w:rPr>
        <w:t>Payment of Filing Fee (Check the appropriate box):</w:t>
      </w:r>
    </w:p>
    <w:p>
      <w:pPr>
        <w:spacing w:after="0" w:line="252" w:lineRule="exact"/>
        <w:rPr>
          <w:sz w:val="24"/>
          <w:szCs w:val="24"/>
          <w:color w:val="auto"/>
        </w:rPr>
      </w:pPr>
    </w:p>
    <w:p>
      <w:pPr>
        <w:ind w:left="444" w:hanging="444"/>
        <w:spacing w:after="0"/>
        <w:tabs>
          <w:tab w:leader="none" w:pos="444" w:val="left"/>
        </w:tabs>
        <w:numPr>
          <w:ilvl w:val="0"/>
          <w:numId w:val="4"/>
        </w:numPr>
        <w:rPr>
          <w:rFonts w:ascii="MS PGothic" w:cs="MS PGothic" w:eastAsia="MS PGothic" w:hAnsi="MS PGothic"/>
          <w:sz w:val="18"/>
          <w:szCs w:val="18"/>
          <w:color w:val="auto"/>
        </w:rPr>
      </w:pPr>
      <w:r>
        <w:rPr>
          <w:rFonts w:ascii="Arial" w:cs="Arial" w:eastAsia="Arial" w:hAnsi="Arial"/>
          <w:sz w:val="18"/>
          <w:szCs w:val="18"/>
          <w:color w:val="auto"/>
        </w:rPr>
        <w:t>No fee required.</w:t>
      </w:r>
    </w:p>
    <w:p>
      <w:pPr>
        <w:spacing w:after="0" w:line="252" w:lineRule="exact"/>
        <w:rPr>
          <w:sz w:val="24"/>
          <w:szCs w:val="24"/>
          <w:color w:val="auto"/>
        </w:rPr>
      </w:pPr>
    </w:p>
    <w:p>
      <w:pPr>
        <w:ind w:left="444" w:hanging="444"/>
        <w:spacing w:after="0"/>
        <w:tabs>
          <w:tab w:leader="none" w:pos="444" w:val="left"/>
        </w:tabs>
        <w:numPr>
          <w:ilvl w:val="0"/>
          <w:numId w:val="5"/>
        </w:numPr>
        <w:rPr>
          <w:rFonts w:ascii="MS PGothic" w:cs="MS PGothic" w:eastAsia="MS PGothic" w:hAnsi="MS PGothic"/>
          <w:sz w:val="18"/>
          <w:szCs w:val="18"/>
          <w:color w:val="auto"/>
        </w:rPr>
      </w:pPr>
      <w:r>
        <w:rPr>
          <w:rFonts w:ascii="Arial" w:cs="Arial" w:eastAsia="Arial" w:hAnsi="Arial"/>
          <w:sz w:val="18"/>
          <w:szCs w:val="18"/>
          <w:color w:val="auto"/>
        </w:rPr>
        <w:t>Fee paid previously with preliminary materials</w:t>
      </w:r>
    </w:p>
    <w:p>
      <w:pPr>
        <w:spacing w:after="0" w:line="252" w:lineRule="exact"/>
        <w:rPr>
          <w:rFonts w:ascii="MS PGothic" w:cs="MS PGothic" w:eastAsia="MS PGothic" w:hAnsi="MS PGothic"/>
          <w:sz w:val="18"/>
          <w:szCs w:val="18"/>
          <w:color w:val="auto"/>
        </w:rPr>
      </w:pPr>
    </w:p>
    <w:p>
      <w:pPr>
        <w:ind w:left="444" w:hanging="444"/>
        <w:spacing w:after="0"/>
        <w:tabs>
          <w:tab w:leader="none" w:pos="444" w:val="left"/>
        </w:tabs>
        <w:numPr>
          <w:ilvl w:val="0"/>
          <w:numId w:val="5"/>
        </w:numPr>
        <w:rPr>
          <w:rFonts w:ascii="MS PGothic" w:cs="MS PGothic" w:eastAsia="MS PGothic" w:hAnsi="MS PGothic"/>
          <w:sz w:val="18"/>
          <w:szCs w:val="18"/>
          <w:color w:val="auto"/>
        </w:rPr>
      </w:pPr>
      <w:r>
        <w:rPr>
          <w:rFonts w:ascii="Arial" w:cs="Arial" w:eastAsia="Arial" w:hAnsi="Arial"/>
          <w:sz w:val="18"/>
          <w:szCs w:val="18"/>
          <w:color w:val="auto"/>
        </w:rPr>
        <w:t>Fee computed on table in exhibit required by Item 25(b) per Exchange Act Rules 14a-6(i)(1) and 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177800</wp:posOffset>
            </wp:positionV>
            <wp:extent cx="699516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220345</wp:posOffset>
            </wp:positionV>
            <wp:extent cx="699516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0023"/>
          </w:cols>
          <w:pgMar w:left="436" w:top="382" w:right="1440" w:bottom="1440" w:gutter="0" w:footer="0" w:header="0"/>
        </w:sectPr>
      </w:pPr>
    </w:p>
    <w:bookmarkStart w:id="1" w:name="page2"/>
    <w:bookmarkEnd w:id="1"/>
    <w:p>
      <w:pPr>
        <w:jc w:val="center"/>
        <w:ind w:right="-3"/>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74865" cy="5143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328930</wp:posOffset>
            </wp:positionV>
            <wp:extent cx="699516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372110</wp:posOffset>
            </wp:positionV>
            <wp:extent cx="699516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1" w:lineRule="exact"/>
        <w:rPr>
          <w:sz w:val="20"/>
          <w:szCs w:val="20"/>
          <w:color w:val="auto"/>
        </w:rPr>
      </w:pPr>
    </w:p>
    <w:p>
      <w:pPr>
        <w:jc w:val="center"/>
        <w:ind w:right="-3"/>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3"/>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2760345</wp:posOffset>
            </wp:positionH>
            <wp:positionV relativeFrom="paragraph">
              <wp:posOffset>201295</wp:posOffset>
            </wp:positionV>
            <wp:extent cx="147447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0"/>
          <w:szCs w:val="20"/>
          <w:color w:val="auto"/>
        </w:rPr>
      </w:pPr>
    </w:p>
    <w:p>
      <w:pPr>
        <w:spacing w:after="0" w:line="245" w:lineRule="exact"/>
        <w:rPr>
          <w:sz w:val="20"/>
          <w:szCs w:val="20"/>
          <w:color w:val="auto"/>
        </w:rPr>
      </w:pPr>
    </w:p>
    <w:p>
      <w:pPr>
        <w:jc w:val="center"/>
        <w:ind w:right="-3"/>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2760345</wp:posOffset>
            </wp:positionH>
            <wp:positionV relativeFrom="paragraph">
              <wp:posOffset>229870</wp:posOffset>
            </wp:positionV>
            <wp:extent cx="147447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303" w:lineRule="exact"/>
        <w:rPr>
          <w:sz w:val="20"/>
          <w:szCs w:val="20"/>
          <w:color w:val="auto"/>
        </w:rPr>
      </w:pPr>
    </w:p>
    <w:p>
      <w:pPr>
        <w:jc w:val="center"/>
        <w:ind w:right="-3"/>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0"/>
          <w:szCs w:val="20"/>
          <w:color w:val="auto"/>
        </w:rPr>
      </w:pPr>
    </w:p>
    <w:p>
      <w:pPr>
        <w:jc w:val="center"/>
        <w:ind w:right="-3"/>
        <w:spacing w:after="0"/>
        <w:rPr>
          <w:sz w:val="20"/>
          <w:szCs w:val="20"/>
          <w:color w:val="auto"/>
        </w:rPr>
      </w:pPr>
      <w:r>
        <w:rPr>
          <w:rFonts w:ascii="Arial" w:cs="Arial" w:eastAsia="Arial" w:hAnsi="Arial"/>
          <w:sz w:val="22"/>
          <w:szCs w:val="22"/>
          <w:b w:val="1"/>
          <w:bCs w:val="1"/>
          <w:color w:val="auto"/>
        </w:rPr>
        <w:t>Pursuant to Section 13 or 15(d)</w:t>
      </w:r>
    </w:p>
    <w:p>
      <w:pPr>
        <w:jc w:val="center"/>
        <w:ind w:right="-3"/>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55" w:lineRule="exact"/>
        <w:rPr>
          <w:sz w:val="20"/>
          <w:szCs w:val="20"/>
          <w:color w:val="auto"/>
        </w:rPr>
      </w:pPr>
    </w:p>
    <w:p>
      <w:pPr>
        <w:jc w:val="center"/>
        <w:ind w:right="-3"/>
        <w:spacing w:after="0"/>
        <w:rPr>
          <w:sz w:val="20"/>
          <w:szCs w:val="20"/>
          <w:color w:val="auto"/>
        </w:rPr>
      </w:pPr>
      <w:r>
        <w:rPr>
          <w:rFonts w:ascii="Arial" w:cs="Arial" w:eastAsia="Arial" w:hAnsi="Arial"/>
          <w:sz w:val="22"/>
          <w:szCs w:val="22"/>
          <w:b w:val="1"/>
          <w:bCs w:val="1"/>
          <w:color w:val="auto"/>
        </w:rPr>
        <w:t>Date of Report (Date of earliest event reported): June 5,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2760345</wp:posOffset>
            </wp:positionH>
            <wp:positionV relativeFrom="paragraph">
              <wp:posOffset>216535</wp:posOffset>
            </wp:positionV>
            <wp:extent cx="147447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267" w:lineRule="exact"/>
        <w:rPr>
          <w:sz w:val="20"/>
          <w:szCs w:val="20"/>
          <w:color w:val="auto"/>
        </w:rPr>
      </w:pPr>
    </w:p>
    <w:p>
      <w:pPr>
        <w:jc w:val="center"/>
        <w:ind w:right="-3"/>
        <w:spacing w:after="0"/>
        <w:rPr>
          <w:sz w:val="20"/>
          <w:szCs w:val="20"/>
          <w:color w:val="auto"/>
        </w:rPr>
      </w:pPr>
      <w:r>
        <w:rPr>
          <w:rFonts w:ascii="Arial" w:cs="Arial" w:eastAsia="Arial" w:hAnsi="Arial"/>
          <w:sz w:val="43"/>
          <w:szCs w:val="43"/>
          <w:b w:val="1"/>
          <w:bCs w:val="1"/>
          <w:color w:val="auto"/>
        </w:rPr>
        <w:t>INTELLIA THERAPEUTICS, INC.</w:t>
      </w:r>
    </w:p>
    <w:p>
      <w:pPr>
        <w:spacing w:after="0" w:line="50"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2760345</wp:posOffset>
            </wp:positionH>
            <wp:positionV relativeFrom="paragraph">
              <wp:posOffset>210185</wp:posOffset>
            </wp:positionV>
            <wp:extent cx="147447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363" w:lineRule="exact"/>
        <w:rPr>
          <w:sz w:val="20"/>
          <w:szCs w:val="20"/>
          <w:color w:val="auto"/>
        </w:rPr>
      </w:pPr>
    </w:p>
    <w:tbl>
      <w:tblPr>
        <w:tblLayout w:type="fixed"/>
        <w:tblInd w:w="644" w:type="dxa"/>
        <w:tblCellMar>
          <w:top w:w="0" w:type="dxa"/>
          <w:left w:w="0" w:type="dxa"/>
          <w:bottom w:w="0" w:type="dxa"/>
          <w:right w:w="0" w:type="dxa"/>
        </w:tblCellMar>
      </w:tblPr>
      <w:tr>
        <w:trPr>
          <w:trHeight w:val="212"/>
        </w:trPr>
        <w:tc>
          <w:tcPr>
            <w:tcW w:w="3500" w:type="dxa"/>
            <w:vAlign w:val="bottom"/>
          </w:tcPr>
          <w:p>
            <w:pPr>
              <w:jc w:val="center"/>
              <w:ind w:right="959"/>
              <w:spacing w:after="0"/>
              <w:rPr>
                <w:sz w:val="20"/>
                <w:szCs w:val="20"/>
                <w:color w:val="auto"/>
              </w:rPr>
            </w:pPr>
            <w:r>
              <w:rPr>
                <w:rFonts w:ascii="Arial" w:cs="Arial" w:eastAsia="Arial" w:hAnsi="Arial"/>
                <w:sz w:val="18"/>
                <w:szCs w:val="18"/>
                <w:b w:val="1"/>
                <w:bCs w:val="1"/>
                <w:color w:val="auto"/>
                <w:w w:val="93"/>
              </w:rPr>
              <w:t>Delaware</w:t>
            </w:r>
          </w:p>
        </w:tc>
        <w:tc>
          <w:tcPr>
            <w:tcW w:w="3220" w:type="dxa"/>
            <w:vAlign w:val="bottom"/>
          </w:tcPr>
          <w:p>
            <w:pPr>
              <w:ind w:left="1080"/>
              <w:spacing w:after="0"/>
              <w:rPr>
                <w:sz w:val="20"/>
                <w:szCs w:val="20"/>
                <w:color w:val="auto"/>
              </w:rPr>
            </w:pPr>
            <w:r>
              <w:rPr>
                <w:rFonts w:ascii="Arial" w:cs="Arial" w:eastAsia="Arial" w:hAnsi="Arial"/>
                <w:sz w:val="18"/>
                <w:szCs w:val="18"/>
                <w:b w:val="1"/>
                <w:bCs w:val="1"/>
                <w:color w:val="auto"/>
              </w:rPr>
              <w:t>001-37766</w:t>
            </w:r>
          </w:p>
        </w:tc>
        <w:tc>
          <w:tcPr>
            <w:tcW w:w="2460" w:type="dxa"/>
            <w:vAlign w:val="bottom"/>
          </w:tcPr>
          <w:p>
            <w:pPr>
              <w:jc w:val="center"/>
              <w:ind w:left="1241"/>
              <w:spacing w:after="0"/>
              <w:rPr>
                <w:sz w:val="20"/>
                <w:szCs w:val="20"/>
                <w:color w:val="auto"/>
              </w:rPr>
            </w:pPr>
            <w:r>
              <w:rPr>
                <w:rFonts w:ascii="Arial" w:cs="Arial" w:eastAsia="Arial" w:hAnsi="Arial"/>
                <w:sz w:val="18"/>
                <w:szCs w:val="18"/>
                <w:b w:val="1"/>
                <w:bCs w:val="1"/>
                <w:color w:val="auto"/>
                <w:w w:val="89"/>
              </w:rPr>
              <w:t>36-4785571</w:t>
            </w:r>
          </w:p>
        </w:tc>
      </w:tr>
      <w:tr>
        <w:trPr>
          <w:trHeight w:val="148"/>
        </w:trPr>
        <w:tc>
          <w:tcPr>
            <w:tcW w:w="3500" w:type="dxa"/>
            <w:vAlign w:val="bottom"/>
          </w:tcPr>
          <w:p>
            <w:pPr>
              <w:jc w:val="center"/>
              <w:ind w:right="959"/>
              <w:spacing w:after="0" w:line="149" w:lineRule="exact"/>
              <w:rPr>
                <w:sz w:val="20"/>
                <w:szCs w:val="20"/>
                <w:color w:val="auto"/>
              </w:rPr>
            </w:pPr>
            <w:r>
              <w:rPr>
                <w:rFonts w:ascii="Arial" w:cs="Arial" w:eastAsia="Arial" w:hAnsi="Arial"/>
                <w:sz w:val="14"/>
                <w:szCs w:val="14"/>
                <w:b w:val="1"/>
                <w:bCs w:val="1"/>
                <w:color w:val="auto"/>
                <w:w w:val="93"/>
              </w:rPr>
              <w:t>(State or Other Jurisdiction</w:t>
            </w:r>
          </w:p>
        </w:tc>
        <w:tc>
          <w:tcPr>
            <w:tcW w:w="3220" w:type="dxa"/>
            <w:vAlign w:val="bottom"/>
          </w:tcPr>
          <w:p>
            <w:pPr>
              <w:ind w:left="1080"/>
              <w:spacing w:after="0" w:line="149" w:lineRule="exact"/>
              <w:rPr>
                <w:sz w:val="20"/>
                <w:szCs w:val="20"/>
                <w:color w:val="auto"/>
              </w:rPr>
            </w:pPr>
            <w:r>
              <w:rPr>
                <w:rFonts w:ascii="Arial" w:cs="Arial" w:eastAsia="Arial" w:hAnsi="Arial"/>
                <w:sz w:val="14"/>
                <w:szCs w:val="14"/>
                <w:b w:val="1"/>
                <w:bCs w:val="1"/>
                <w:color w:val="auto"/>
              </w:rPr>
              <w:t>(Commission</w:t>
            </w:r>
          </w:p>
        </w:tc>
        <w:tc>
          <w:tcPr>
            <w:tcW w:w="2460" w:type="dxa"/>
            <w:vAlign w:val="bottom"/>
          </w:tcPr>
          <w:p>
            <w:pPr>
              <w:jc w:val="center"/>
              <w:ind w:left="1241"/>
              <w:spacing w:after="0" w:line="149" w:lineRule="exact"/>
              <w:rPr>
                <w:sz w:val="20"/>
                <w:szCs w:val="20"/>
                <w:color w:val="auto"/>
              </w:rPr>
            </w:pPr>
            <w:r>
              <w:rPr>
                <w:rFonts w:ascii="Arial" w:cs="Arial" w:eastAsia="Arial" w:hAnsi="Arial"/>
                <w:sz w:val="14"/>
                <w:szCs w:val="14"/>
                <w:b w:val="1"/>
                <w:bCs w:val="1"/>
                <w:color w:val="auto"/>
                <w:w w:val="98"/>
              </w:rPr>
              <w:t>(IRS Employer</w:t>
            </w:r>
          </w:p>
        </w:tc>
      </w:tr>
      <w:tr>
        <w:trPr>
          <w:trHeight w:val="186"/>
        </w:trPr>
        <w:tc>
          <w:tcPr>
            <w:tcW w:w="3500" w:type="dxa"/>
            <w:vAlign w:val="bottom"/>
          </w:tcPr>
          <w:p>
            <w:pPr>
              <w:jc w:val="center"/>
              <w:ind w:right="959"/>
              <w:spacing w:after="0"/>
              <w:rPr>
                <w:sz w:val="20"/>
                <w:szCs w:val="20"/>
                <w:color w:val="auto"/>
              </w:rPr>
            </w:pPr>
            <w:r>
              <w:rPr>
                <w:rFonts w:ascii="Arial" w:cs="Arial" w:eastAsia="Arial" w:hAnsi="Arial"/>
                <w:sz w:val="14"/>
                <w:szCs w:val="14"/>
                <w:b w:val="1"/>
                <w:bCs w:val="1"/>
                <w:color w:val="auto"/>
                <w:w w:val="94"/>
              </w:rPr>
              <w:t>of Incorporation)</w:t>
            </w:r>
          </w:p>
        </w:tc>
        <w:tc>
          <w:tcPr>
            <w:tcW w:w="3220" w:type="dxa"/>
            <w:vAlign w:val="bottom"/>
          </w:tcPr>
          <w:p>
            <w:pPr>
              <w:ind w:left="1060"/>
              <w:spacing w:after="0"/>
              <w:rPr>
                <w:sz w:val="20"/>
                <w:szCs w:val="20"/>
                <w:color w:val="auto"/>
              </w:rPr>
            </w:pPr>
            <w:r>
              <w:rPr>
                <w:rFonts w:ascii="Arial" w:cs="Arial" w:eastAsia="Arial" w:hAnsi="Arial"/>
                <w:sz w:val="14"/>
                <w:szCs w:val="14"/>
                <w:b w:val="1"/>
                <w:bCs w:val="1"/>
                <w:color w:val="auto"/>
              </w:rPr>
              <w:t>File Number)</w:t>
            </w:r>
          </w:p>
        </w:tc>
        <w:tc>
          <w:tcPr>
            <w:tcW w:w="2460" w:type="dxa"/>
            <w:vAlign w:val="bottom"/>
          </w:tcPr>
          <w:p>
            <w:pPr>
              <w:jc w:val="center"/>
              <w:ind w:left="1241"/>
              <w:spacing w:after="0"/>
              <w:rPr>
                <w:sz w:val="20"/>
                <w:szCs w:val="20"/>
                <w:color w:val="auto"/>
              </w:rPr>
            </w:pPr>
            <w:r>
              <w:rPr>
                <w:rFonts w:ascii="Arial" w:cs="Arial" w:eastAsia="Arial" w:hAnsi="Arial"/>
                <w:sz w:val="14"/>
                <w:szCs w:val="14"/>
                <w:b w:val="1"/>
                <w:bCs w:val="1"/>
                <w:color w:val="auto"/>
                <w:w w:val="96"/>
              </w:rPr>
              <w:t>Identification No.)</w:t>
            </w:r>
          </w:p>
        </w:tc>
      </w:tr>
      <w:tr>
        <w:trPr>
          <w:trHeight w:val="412"/>
        </w:trPr>
        <w:tc>
          <w:tcPr>
            <w:tcW w:w="3500" w:type="dxa"/>
            <w:vAlign w:val="bottom"/>
          </w:tcPr>
          <w:p>
            <w:pPr>
              <w:jc w:val="center"/>
              <w:ind w:right="959"/>
              <w:spacing w:after="0"/>
              <w:rPr>
                <w:sz w:val="20"/>
                <w:szCs w:val="20"/>
                <w:color w:val="auto"/>
              </w:rPr>
            </w:pPr>
            <w:r>
              <w:rPr>
                <w:rFonts w:ascii="Arial" w:cs="Arial" w:eastAsia="Arial" w:hAnsi="Arial"/>
                <w:sz w:val="18"/>
                <w:szCs w:val="18"/>
                <w:b w:val="1"/>
                <w:bCs w:val="1"/>
                <w:color w:val="auto"/>
                <w:w w:val="91"/>
              </w:rPr>
              <w:t>40 Erie Street, Suite 130</w:t>
            </w:r>
          </w:p>
        </w:tc>
        <w:tc>
          <w:tcPr>
            <w:tcW w:w="3220" w:type="dxa"/>
            <w:vAlign w:val="bottom"/>
          </w:tcPr>
          <w:p>
            <w:pPr>
              <w:spacing w:after="0"/>
              <w:rPr>
                <w:sz w:val="24"/>
                <w:szCs w:val="24"/>
                <w:color w:val="auto"/>
              </w:rPr>
            </w:pPr>
          </w:p>
        </w:tc>
        <w:tc>
          <w:tcPr>
            <w:tcW w:w="2460" w:type="dxa"/>
            <w:vAlign w:val="bottom"/>
          </w:tcPr>
          <w:p>
            <w:pPr>
              <w:spacing w:after="0"/>
              <w:rPr>
                <w:sz w:val="24"/>
                <w:szCs w:val="24"/>
                <w:color w:val="auto"/>
              </w:rPr>
            </w:pPr>
          </w:p>
        </w:tc>
      </w:tr>
      <w:tr>
        <w:trPr>
          <w:trHeight w:val="225"/>
        </w:trPr>
        <w:tc>
          <w:tcPr>
            <w:tcW w:w="3500" w:type="dxa"/>
            <w:vAlign w:val="bottom"/>
          </w:tcPr>
          <w:p>
            <w:pPr>
              <w:jc w:val="center"/>
              <w:ind w:right="959"/>
              <w:spacing w:after="0"/>
              <w:rPr>
                <w:sz w:val="20"/>
                <w:szCs w:val="20"/>
                <w:color w:val="auto"/>
              </w:rPr>
            </w:pPr>
            <w:r>
              <w:rPr>
                <w:rFonts w:ascii="Arial" w:cs="Arial" w:eastAsia="Arial" w:hAnsi="Arial"/>
                <w:sz w:val="18"/>
                <w:szCs w:val="18"/>
                <w:b w:val="1"/>
                <w:bCs w:val="1"/>
                <w:color w:val="auto"/>
                <w:w w:val="88"/>
              </w:rPr>
              <w:t>Cambridge, Massachusetts</w:t>
            </w:r>
          </w:p>
        </w:tc>
        <w:tc>
          <w:tcPr>
            <w:tcW w:w="3220" w:type="dxa"/>
            <w:vAlign w:val="bottom"/>
          </w:tcPr>
          <w:p>
            <w:pPr>
              <w:spacing w:after="0"/>
              <w:rPr>
                <w:sz w:val="19"/>
                <w:szCs w:val="19"/>
                <w:color w:val="auto"/>
              </w:rPr>
            </w:pPr>
          </w:p>
        </w:tc>
        <w:tc>
          <w:tcPr>
            <w:tcW w:w="2460" w:type="dxa"/>
            <w:vAlign w:val="bottom"/>
          </w:tcPr>
          <w:p>
            <w:pPr>
              <w:jc w:val="right"/>
              <w:ind w:right="221"/>
              <w:spacing w:after="0"/>
              <w:rPr>
                <w:sz w:val="20"/>
                <w:szCs w:val="20"/>
                <w:color w:val="auto"/>
              </w:rPr>
            </w:pPr>
            <w:r>
              <w:rPr>
                <w:rFonts w:ascii="Arial" w:cs="Arial" w:eastAsia="Arial" w:hAnsi="Arial"/>
                <w:sz w:val="18"/>
                <w:szCs w:val="18"/>
                <w:b w:val="1"/>
                <w:bCs w:val="1"/>
                <w:color w:val="auto"/>
              </w:rPr>
              <w:t>02139</w:t>
            </w:r>
          </w:p>
        </w:tc>
      </w:tr>
      <w:tr>
        <w:trPr>
          <w:trHeight w:val="186"/>
        </w:trPr>
        <w:tc>
          <w:tcPr>
            <w:tcW w:w="3500" w:type="dxa"/>
            <w:vAlign w:val="bottom"/>
          </w:tcPr>
          <w:p>
            <w:pPr>
              <w:jc w:val="center"/>
              <w:ind w:right="959"/>
              <w:spacing w:after="0"/>
              <w:rPr>
                <w:sz w:val="20"/>
                <w:szCs w:val="20"/>
                <w:color w:val="auto"/>
              </w:rPr>
            </w:pPr>
            <w:r>
              <w:rPr>
                <w:rFonts w:ascii="Arial" w:cs="Arial" w:eastAsia="Arial" w:hAnsi="Arial"/>
                <w:sz w:val="14"/>
                <w:szCs w:val="14"/>
                <w:b w:val="1"/>
                <w:bCs w:val="1"/>
                <w:color w:val="auto"/>
                <w:w w:val="92"/>
              </w:rPr>
              <w:t>(Address of Principal Executive Offices)</w:t>
            </w:r>
          </w:p>
        </w:tc>
        <w:tc>
          <w:tcPr>
            <w:tcW w:w="3220" w:type="dxa"/>
            <w:vAlign w:val="bottom"/>
          </w:tcPr>
          <w:p>
            <w:pPr>
              <w:spacing w:after="0"/>
              <w:rPr>
                <w:sz w:val="16"/>
                <w:szCs w:val="16"/>
                <w:color w:val="auto"/>
              </w:rPr>
            </w:pPr>
          </w:p>
        </w:tc>
        <w:tc>
          <w:tcPr>
            <w:tcW w:w="2460" w:type="dxa"/>
            <w:vAlign w:val="bottom"/>
          </w:tcPr>
          <w:p>
            <w:pPr>
              <w:jc w:val="center"/>
              <w:ind w:left="1361"/>
              <w:spacing w:after="0"/>
              <w:rPr>
                <w:sz w:val="20"/>
                <w:szCs w:val="20"/>
                <w:color w:val="auto"/>
              </w:rPr>
            </w:pPr>
            <w:r>
              <w:rPr>
                <w:rFonts w:ascii="Arial" w:cs="Arial" w:eastAsia="Arial" w:hAnsi="Arial"/>
                <w:sz w:val="14"/>
                <w:szCs w:val="14"/>
                <w:b w:val="1"/>
                <w:bCs w:val="1"/>
                <w:color w:val="auto"/>
                <w:w w:val="95"/>
              </w:rPr>
              <w:t>(Zip Code)</w:t>
            </w:r>
          </w:p>
        </w:tc>
      </w:tr>
    </w:tbl>
    <w:p>
      <w:pPr>
        <w:spacing w:after="0" w:line="156"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Registrant’s Telephone Number, Including Area Code: (857) 285-6200</w:t>
      </w:r>
    </w:p>
    <w:p>
      <w:pPr>
        <w:spacing w:after="0" w:line="185"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Not Applicable</w:t>
      </w:r>
    </w:p>
    <w:p>
      <w:pPr>
        <w:spacing w:after="0" w:line="21" w:lineRule="exact"/>
        <w:rPr>
          <w:sz w:val="20"/>
          <w:szCs w:val="20"/>
          <w:color w:val="auto"/>
        </w:rPr>
      </w:pPr>
    </w:p>
    <w:p>
      <w:pPr>
        <w:jc w:val="center"/>
        <w:ind w:right="-3"/>
        <w:spacing w:after="0"/>
        <w:rPr>
          <w:sz w:val="20"/>
          <w:szCs w:val="20"/>
          <w:color w:val="auto"/>
        </w:rPr>
      </w:pPr>
      <w:r>
        <w:rPr>
          <w:rFonts w:ascii="Arial" w:cs="Arial" w:eastAsia="Arial" w:hAnsi="Arial"/>
          <w:sz w:val="14"/>
          <w:szCs w:val="14"/>
          <w:b w:val="1"/>
          <w:bCs w:val="1"/>
          <w:color w:val="auto"/>
        </w:rPr>
        <w:t>(Former Name or Former Address, if Changed Since Last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2760345</wp:posOffset>
            </wp:positionH>
            <wp:positionV relativeFrom="paragraph">
              <wp:posOffset>201930</wp:posOffset>
            </wp:positionV>
            <wp:extent cx="147447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0"/>
          <w:szCs w:val="20"/>
          <w:color w:val="auto"/>
        </w:rPr>
      </w:pPr>
    </w:p>
    <w:p>
      <w:pPr>
        <w:spacing w:after="0" w:line="273" w:lineRule="exact"/>
        <w:rPr>
          <w:sz w:val="20"/>
          <w:szCs w:val="20"/>
          <w:color w:val="auto"/>
        </w:rPr>
      </w:pPr>
    </w:p>
    <w:p>
      <w:pPr>
        <w:ind w:left="4" w:right="4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49" w:lineRule="exact"/>
        <w:rPr>
          <w:sz w:val="20"/>
          <w:szCs w:val="20"/>
          <w:color w:val="auto"/>
        </w:rPr>
      </w:pPr>
    </w:p>
    <w:p>
      <w:pPr>
        <w:ind w:left="444" w:hanging="444"/>
        <w:spacing w:after="0"/>
        <w:tabs>
          <w:tab w:leader="none" w:pos="444" w:val="left"/>
        </w:tabs>
        <w:numPr>
          <w:ilvl w:val="0"/>
          <w:numId w:val="6"/>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03" w:lineRule="exact"/>
        <w:rPr>
          <w:rFonts w:ascii="MS PGothic" w:cs="MS PGothic" w:eastAsia="MS PGothic" w:hAnsi="MS PGothic"/>
          <w:sz w:val="18"/>
          <w:szCs w:val="18"/>
          <w:color w:val="auto"/>
        </w:rPr>
      </w:pPr>
    </w:p>
    <w:p>
      <w:pPr>
        <w:ind w:left="444" w:hanging="444"/>
        <w:spacing w:after="0"/>
        <w:tabs>
          <w:tab w:leader="none" w:pos="444" w:val="left"/>
        </w:tabs>
        <w:numPr>
          <w:ilvl w:val="0"/>
          <w:numId w:val="6"/>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03" w:lineRule="exact"/>
        <w:rPr>
          <w:rFonts w:ascii="MS PGothic" w:cs="MS PGothic" w:eastAsia="MS PGothic" w:hAnsi="MS PGothic"/>
          <w:sz w:val="18"/>
          <w:szCs w:val="18"/>
          <w:color w:val="auto"/>
        </w:rPr>
      </w:pPr>
    </w:p>
    <w:p>
      <w:pPr>
        <w:ind w:left="444" w:hanging="444"/>
        <w:spacing w:after="0"/>
        <w:tabs>
          <w:tab w:leader="none" w:pos="444" w:val="left"/>
        </w:tabs>
        <w:numPr>
          <w:ilvl w:val="0"/>
          <w:numId w:val="6"/>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03" w:lineRule="exact"/>
        <w:rPr>
          <w:rFonts w:ascii="MS PGothic" w:cs="MS PGothic" w:eastAsia="MS PGothic" w:hAnsi="MS PGothic"/>
          <w:sz w:val="18"/>
          <w:szCs w:val="18"/>
          <w:color w:val="auto"/>
        </w:rPr>
      </w:pPr>
    </w:p>
    <w:p>
      <w:pPr>
        <w:ind w:left="444" w:hanging="444"/>
        <w:spacing w:after="0"/>
        <w:tabs>
          <w:tab w:leader="none" w:pos="444" w:val="left"/>
        </w:tabs>
        <w:numPr>
          <w:ilvl w:val="0"/>
          <w:numId w:val="6"/>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25" w:lineRule="exact"/>
        <w:rPr>
          <w:sz w:val="20"/>
          <w:szCs w:val="20"/>
          <w:color w:val="auto"/>
        </w:rPr>
      </w:pPr>
    </w:p>
    <w:p>
      <w:pPr>
        <w:ind w:left="4"/>
        <w:spacing w:after="0"/>
        <w:rPr>
          <w:sz w:val="20"/>
          <w:szCs w:val="20"/>
          <w:color w:val="auto"/>
        </w:rPr>
      </w:pPr>
      <w:r>
        <w:rPr>
          <w:rFonts w:ascii="Arial" w:cs="Arial" w:eastAsia="Arial" w:hAnsi="Arial"/>
          <w:sz w:val="18"/>
          <w:szCs w:val="18"/>
          <w:color w:val="auto"/>
        </w:rPr>
        <w:t>Securities registered pursuant to Section 12(b) of the Act:</w:t>
      </w:r>
    </w:p>
    <w:p>
      <w:pPr>
        <w:spacing w:after="0" w:line="231" w:lineRule="exact"/>
        <w:rPr>
          <w:sz w:val="20"/>
          <w:szCs w:val="20"/>
          <w:color w:val="auto"/>
        </w:rPr>
      </w:pPr>
    </w:p>
    <w:tbl>
      <w:tblPr>
        <w:tblLayout w:type="fixed"/>
        <w:tblInd w:w="4" w:type="dxa"/>
        <w:tblCellMar>
          <w:top w:w="0" w:type="dxa"/>
          <w:left w:w="0" w:type="dxa"/>
          <w:bottom w:w="0" w:type="dxa"/>
          <w:right w:w="0" w:type="dxa"/>
        </w:tblCellMar>
      </w:tblPr>
      <w:tr>
        <w:trPr>
          <w:trHeight w:val="161"/>
        </w:trPr>
        <w:tc>
          <w:tcPr>
            <w:tcW w:w="37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9"/>
              </w:rPr>
              <w:t>Title of each class</w:t>
            </w:r>
          </w:p>
        </w:tc>
        <w:tc>
          <w:tcPr>
            <w:tcW w:w="120" w:type="dxa"/>
            <w:vAlign w:val="bottom"/>
          </w:tcPr>
          <w:p>
            <w:pPr>
              <w:spacing w:after="0"/>
              <w:rPr>
                <w:sz w:val="14"/>
                <w:szCs w:val="14"/>
                <w:color w:val="auto"/>
              </w:rPr>
            </w:pPr>
          </w:p>
        </w:tc>
        <w:tc>
          <w:tcPr>
            <w:tcW w:w="3520" w:type="dxa"/>
            <w:vAlign w:val="bottom"/>
          </w:tcPr>
          <w:p>
            <w:pPr>
              <w:jc w:val="center"/>
              <w:spacing w:after="0"/>
              <w:rPr>
                <w:sz w:val="20"/>
                <w:szCs w:val="20"/>
                <w:color w:val="auto"/>
              </w:rPr>
            </w:pPr>
            <w:r>
              <w:rPr>
                <w:rFonts w:ascii="Arial" w:cs="Arial" w:eastAsia="Arial" w:hAnsi="Arial"/>
                <w:sz w:val="14"/>
                <w:szCs w:val="14"/>
                <w:b w:val="1"/>
                <w:bCs w:val="1"/>
                <w:color w:val="auto"/>
                <w:w w:val="97"/>
              </w:rPr>
              <w:t>Trading</w:t>
            </w:r>
          </w:p>
        </w:tc>
        <w:tc>
          <w:tcPr>
            <w:tcW w:w="100" w:type="dxa"/>
            <w:vAlign w:val="bottom"/>
          </w:tcPr>
          <w:p>
            <w:pPr>
              <w:spacing w:after="0"/>
              <w:rPr>
                <w:sz w:val="14"/>
                <w:szCs w:val="14"/>
                <w:color w:val="auto"/>
              </w:rPr>
            </w:pP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w w:val="88"/>
              </w:rPr>
              <w:t>Name of each exchange</w:t>
            </w:r>
          </w:p>
        </w:tc>
        <w:tc>
          <w:tcPr>
            <w:tcW w:w="0" w:type="dxa"/>
            <w:vAlign w:val="bottom"/>
          </w:tcPr>
          <w:p>
            <w:pPr>
              <w:spacing w:after="0"/>
              <w:rPr>
                <w:sz w:val="1"/>
                <w:szCs w:val="1"/>
                <w:color w:val="auto"/>
              </w:rPr>
            </w:pPr>
          </w:p>
        </w:tc>
      </w:tr>
      <w:tr>
        <w:trPr>
          <w:trHeight w:val="192"/>
        </w:trPr>
        <w:tc>
          <w:tcPr>
            <w:tcW w:w="374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35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Symbol(s)</w:t>
            </w:r>
          </w:p>
        </w:tc>
        <w:tc>
          <w:tcPr>
            <w:tcW w:w="100" w:type="dxa"/>
            <w:vAlign w:val="bottom"/>
          </w:tcPr>
          <w:p>
            <w:pPr>
              <w:spacing w:after="0"/>
              <w:rPr>
                <w:sz w:val="16"/>
                <w:szCs w:val="16"/>
                <w:color w:val="auto"/>
              </w:rPr>
            </w:pPr>
          </w:p>
        </w:tc>
        <w:tc>
          <w:tcPr>
            <w:tcW w:w="35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on which registered</w:t>
            </w:r>
          </w:p>
        </w:tc>
        <w:tc>
          <w:tcPr>
            <w:tcW w:w="0" w:type="dxa"/>
            <w:vAlign w:val="bottom"/>
          </w:tcPr>
          <w:p>
            <w:pPr>
              <w:spacing w:after="0"/>
              <w:rPr>
                <w:sz w:val="1"/>
                <w:szCs w:val="1"/>
                <w:color w:val="auto"/>
              </w:rPr>
            </w:pPr>
          </w:p>
        </w:tc>
      </w:tr>
      <w:tr>
        <w:trPr>
          <w:trHeight w:val="230"/>
        </w:trPr>
        <w:tc>
          <w:tcPr>
            <w:tcW w:w="3740" w:type="dxa"/>
            <w:vAlign w:val="bottom"/>
          </w:tcPr>
          <w:p>
            <w:pPr>
              <w:jc w:val="center"/>
              <w:spacing w:after="0"/>
              <w:rPr>
                <w:sz w:val="20"/>
                <w:szCs w:val="20"/>
                <w:color w:val="auto"/>
              </w:rPr>
            </w:pPr>
            <w:r>
              <w:rPr>
                <w:rFonts w:ascii="Arial" w:cs="Arial" w:eastAsia="Arial" w:hAnsi="Arial"/>
                <w:sz w:val="18"/>
                <w:szCs w:val="18"/>
                <w:color w:val="auto"/>
                <w:w w:val="90"/>
              </w:rPr>
              <w:t>Common Stock (Par Value $0.0001)</w:t>
            </w:r>
          </w:p>
        </w:tc>
        <w:tc>
          <w:tcPr>
            <w:tcW w:w="120" w:type="dxa"/>
            <w:vAlign w:val="bottom"/>
          </w:tcPr>
          <w:p>
            <w:pPr>
              <w:spacing w:after="0"/>
              <w:rPr>
                <w:sz w:val="20"/>
                <w:szCs w:val="20"/>
                <w:color w:val="auto"/>
              </w:rPr>
            </w:pPr>
          </w:p>
        </w:tc>
        <w:tc>
          <w:tcPr>
            <w:tcW w:w="3520" w:type="dxa"/>
            <w:vAlign w:val="bottom"/>
          </w:tcPr>
          <w:p>
            <w:pPr>
              <w:jc w:val="center"/>
              <w:spacing w:after="0"/>
              <w:rPr>
                <w:sz w:val="20"/>
                <w:szCs w:val="20"/>
                <w:color w:val="auto"/>
              </w:rPr>
            </w:pPr>
            <w:r>
              <w:rPr>
                <w:rFonts w:ascii="Arial" w:cs="Arial" w:eastAsia="Arial" w:hAnsi="Arial"/>
                <w:sz w:val="18"/>
                <w:szCs w:val="18"/>
                <w:color w:val="auto"/>
              </w:rPr>
              <w:t>NTLA</w:t>
            </w:r>
          </w:p>
        </w:tc>
        <w:tc>
          <w:tcPr>
            <w:tcW w:w="100" w:type="dxa"/>
            <w:vAlign w:val="bottom"/>
          </w:tcPr>
          <w:p>
            <w:pPr>
              <w:spacing w:after="0"/>
              <w:rPr>
                <w:sz w:val="20"/>
                <w:szCs w:val="20"/>
                <w:color w:val="auto"/>
              </w:rPr>
            </w:pPr>
          </w:p>
        </w:tc>
        <w:tc>
          <w:tcPr>
            <w:tcW w:w="3540" w:type="dxa"/>
            <w:vAlign w:val="bottom"/>
          </w:tcPr>
          <w:p>
            <w:pPr>
              <w:jc w:val="center"/>
              <w:spacing w:after="0"/>
              <w:rPr>
                <w:sz w:val="20"/>
                <w:szCs w:val="20"/>
                <w:color w:val="auto"/>
              </w:rPr>
            </w:pPr>
            <w:r>
              <w:rPr>
                <w:rFonts w:ascii="Arial" w:cs="Arial" w:eastAsia="Arial" w:hAnsi="Arial"/>
                <w:sz w:val="18"/>
                <w:szCs w:val="18"/>
                <w:color w:val="auto"/>
                <w:w w:val="92"/>
              </w:rPr>
              <w:t>The Nasdaq Global Market</w:t>
            </w:r>
          </w:p>
        </w:tc>
        <w:tc>
          <w:tcPr>
            <w:tcW w:w="0" w:type="dxa"/>
            <w:vAlign w:val="bottom"/>
          </w:tcPr>
          <w:p>
            <w:pPr>
              <w:spacing w:after="0"/>
              <w:rPr>
                <w:sz w:val="1"/>
                <w:szCs w:val="1"/>
                <w:color w:val="auto"/>
              </w:rPr>
            </w:pPr>
          </w:p>
        </w:tc>
      </w:tr>
    </w:tbl>
    <w:p>
      <w:pPr>
        <w:spacing w:after="0" w:line="147" w:lineRule="exact"/>
        <w:rPr>
          <w:sz w:val="20"/>
          <w:szCs w:val="20"/>
          <w:color w:val="auto"/>
        </w:rPr>
      </w:pPr>
    </w:p>
    <w:p>
      <w:pPr>
        <w:ind w:left="4" w:right="26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85" w:lineRule="exact"/>
        <w:rPr>
          <w:sz w:val="20"/>
          <w:szCs w:val="20"/>
          <w:color w:val="auto"/>
        </w:rPr>
      </w:pPr>
    </w:p>
    <w:p>
      <w:pPr>
        <w:ind w:left="4"/>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43" w:lineRule="exact"/>
        <w:rPr>
          <w:sz w:val="20"/>
          <w:szCs w:val="20"/>
          <w:color w:val="auto"/>
        </w:rPr>
      </w:pPr>
    </w:p>
    <w:p>
      <w:pPr>
        <w:ind w:left="4" w:right="300"/>
        <w:spacing w:after="0" w:line="238"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128270</wp:posOffset>
            </wp:positionV>
            <wp:extent cx="699516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170815</wp:posOffset>
            </wp:positionV>
            <wp:extent cx="699516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4"/>
          </w:cols>
          <w:pgMar w:left="436" w:top="638" w:right="439" w:bottom="1440" w:gutter="0" w:footer="0" w:header="0"/>
        </w:sectPr>
      </w:pPr>
    </w:p>
    <w:bookmarkStart w:id="2" w:name="page3"/>
    <w:bookmarkEnd w:id="2"/>
    <w:p>
      <w:pPr>
        <w:ind w:left="1200" w:right="1020" w:hanging="1211"/>
        <w:spacing w:after="0" w:line="282" w:lineRule="auto"/>
        <w:tabs>
          <w:tab w:leader="none" w:pos="118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08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50800"/>
                    </a:xfrm>
                    <a:prstGeom prst="rect">
                      <a:avLst/>
                    </a:prstGeom>
                    <a:noFill/>
                  </pic:spPr>
                </pic:pic>
              </a:graphicData>
            </a:graphic>
          </wp:anchor>
        </w:drawing>
        <w:t>Item 5.02</w:t>
      </w:r>
      <w:r>
        <w:rPr>
          <w:sz w:val="20"/>
          <w:szCs w:val="20"/>
          <w:color w:val="auto"/>
        </w:rPr>
        <w:tab/>
      </w:r>
      <w:r>
        <w:rPr>
          <w:rFonts w:ascii="Arial" w:cs="Arial" w:eastAsia="Arial" w:hAnsi="Arial"/>
          <w:sz w:val="18"/>
          <w:szCs w:val="18"/>
          <w:b w:val="1"/>
          <w:bCs w:val="1"/>
          <w:color w:val="auto"/>
        </w:rPr>
        <w:t>Departure of Directors or Certain Officers; Election of Directors; Appointment of Certain Officers; Compensatory Arrangements of Certain Officers.</w:t>
      </w:r>
    </w:p>
    <w:p>
      <w:pPr>
        <w:spacing w:after="0" w:line="58" w:lineRule="exact"/>
        <w:rPr>
          <w:sz w:val="20"/>
          <w:szCs w:val="20"/>
          <w:color w:val="auto"/>
        </w:rPr>
      </w:pPr>
    </w:p>
    <w:p>
      <w:pPr>
        <w:ind w:right="160"/>
        <w:spacing w:after="0" w:line="257" w:lineRule="auto"/>
        <w:rPr>
          <w:sz w:val="20"/>
          <w:szCs w:val="20"/>
          <w:color w:val="auto"/>
        </w:rPr>
      </w:pPr>
      <w:r>
        <w:rPr>
          <w:rFonts w:ascii="Arial" w:cs="Arial" w:eastAsia="Arial" w:hAnsi="Arial"/>
          <w:sz w:val="18"/>
          <w:szCs w:val="18"/>
          <w:color w:val="auto"/>
        </w:rPr>
        <w:t>On June 5, 2023, Jean-François Formela notified Intellia Therapeutics, Inc. (the “Company”) of his intent to resign from the Board of Directors (the “Board”) of the Company and its committees, effective June 15, 2023. Mr. Formela currently serves on the Audit Committee and on the Compensation and Talent Development Committee of the Board. His resignation is not the result of any disagreement with the Company on any matter relating to the Company’s operations, policies or practices. The Company thanks Mr. Formela for his long, dedicated service on the Board and wishes him well in his future pursuits.</w:t>
      </w:r>
    </w:p>
    <w:p>
      <w:pPr>
        <w:spacing w:after="0" w:line="332" w:lineRule="exact"/>
        <w:rPr>
          <w:sz w:val="20"/>
          <w:szCs w:val="20"/>
          <w:color w:val="auto"/>
        </w:rPr>
      </w:pPr>
    </w:p>
    <w:p>
      <w:pPr>
        <w:spacing w:after="0"/>
        <w:tabs>
          <w:tab w:leader="none" w:pos="1180" w:val="left"/>
        </w:tabs>
        <w:rPr>
          <w:sz w:val="20"/>
          <w:szCs w:val="20"/>
          <w:color w:val="auto"/>
        </w:rPr>
      </w:pPr>
      <w:r>
        <w:rPr>
          <w:rFonts w:ascii="Arial" w:cs="Arial" w:eastAsia="Arial" w:hAnsi="Arial"/>
          <w:sz w:val="18"/>
          <w:szCs w:val="18"/>
          <w:b w:val="1"/>
          <w:bCs w:val="1"/>
          <w:color w:val="auto"/>
        </w:rPr>
        <w:t>Item 7.01</w:t>
      </w:r>
      <w:r>
        <w:rPr>
          <w:sz w:val="20"/>
          <w:szCs w:val="20"/>
          <w:color w:val="auto"/>
        </w:rPr>
        <w:tab/>
      </w:r>
      <w:r>
        <w:rPr>
          <w:rFonts w:ascii="Arial" w:cs="Arial" w:eastAsia="Arial" w:hAnsi="Arial"/>
          <w:sz w:val="16"/>
          <w:szCs w:val="16"/>
          <w:b w:val="1"/>
          <w:bCs w:val="1"/>
          <w:color w:val="auto"/>
        </w:rPr>
        <w:t>Regulation FD Disclosure.</w:t>
      </w:r>
    </w:p>
    <w:p>
      <w:pPr>
        <w:spacing w:after="0" w:line="121"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On June 5, 2023, the Company issued a press release announcing Mr. Formela’s resignation from the Board. A copy of this press release is furnished as Exhibit 99.1 to this report on Form 8-K and is incorporated herein by reference.</w:t>
      </w:r>
    </w:p>
    <w:p>
      <w:pPr>
        <w:spacing w:after="0" w:line="170" w:lineRule="exact"/>
        <w:rPr>
          <w:sz w:val="20"/>
          <w:szCs w:val="20"/>
          <w:color w:val="auto"/>
        </w:rPr>
      </w:pPr>
    </w:p>
    <w:p>
      <w:pPr>
        <w:jc w:val="both"/>
        <w:ind w:right="360"/>
        <w:spacing w:after="0" w:line="259" w:lineRule="auto"/>
        <w:rPr>
          <w:sz w:val="20"/>
          <w:szCs w:val="20"/>
          <w:color w:val="auto"/>
        </w:rPr>
      </w:pPr>
      <w:r>
        <w:rPr>
          <w:rFonts w:ascii="Arial" w:cs="Arial" w:eastAsia="Arial" w:hAnsi="Arial"/>
          <w:sz w:val="18"/>
          <w:szCs w:val="18"/>
          <w:i w:val="1"/>
          <w:iCs w:val="1"/>
          <w:color w:val="auto"/>
        </w:rPr>
        <w:t>The information under this Item 7.01, including Exhibit 99.1 hereto, is being furnished herewith and shall not be deemed “filed” for the purposes of Section 18 of the Securities Exchange Act of 1934, as amended (the “Exchange Act”), or otherwise subject to the liabilities of that section, nor shall such information be deemed incorporated by reference into any filing under the Securities Act of 1933, as amended, or the Exchange Act, except as expressly set forth by specific reference in such filing.</w:t>
      </w:r>
    </w:p>
    <w:p>
      <w:pPr>
        <w:spacing w:after="0" w:line="33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040" w:type="dxa"/>
            <w:vAlign w:val="bottom"/>
            <w:gridSpan w:val="2"/>
          </w:tcPr>
          <w:p>
            <w:pPr>
              <w:spacing w:after="0"/>
              <w:rPr>
                <w:sz w:val="20"/>
                <w:szCs w:val="20"/>
                <w:color w:val="auto"/>
              </w:rPr>
            </w:pPr>
            <w:r>
              <w:rPr>
                <w:rFonts w:ascii="Arial" w:cs="Arial" w:eastAsia="Arial" w:hAnsi="Arial"/>
                <w:sz w:val="18"/>
                <w:szCs w:val="18"/>
                <w:b w:val="1"/>
                <w:bCs w:val="1"/>
                <w:color w:val="auto"/>
              </w:rPr>
              <w:t>Item 9.01.</w:t>
            </w:r>
          </w:p>
        </w:tc>
        <w:tc>
          <w:tcPr>
            <w:tcW w:w="9980" w:type="dxa"/>
            <w:vAlign w:val="bottom"/>
          </w:tcPr>
          <w:p>
            <w:pPr>
              <w:ind w:left="160"/>
              <w:spacing w:after="0"/>
              <w:rPr>
                <w:sz w:val="20"/>
                <w:szCs w:val="20"/>
                <w:color w:val="auto"/>
              </w:rPr>
            </w:pPr>
            <w:r>
              <w:rPr>
                <w:rFonts w:ascii="Arial" w:cs="Arial" w:eastAsia="Arial" w:hAnsi="Arial"/>
                <w:sz w:val="18"/>
                <w:szCs w:val="18"/>
                <w:b w:val="1"/>
                <w:bCs w:val="1"/>
                <w:color w:val="auto"/>
              </w:rPr>
              <w:t>Financial Statements and Exhibits.</w:t>
            </w:r>
          </w:p>
        </w:tc>
        <w:tc>
          <w:tcPr>
            <w:tcW w:w="0" w:type="dxa"/>
            <w:vAlign w:val="bottom"/>
          </w:tcPr>
          <w:p>
            <w:pPr>
              <w:spacing w:after="0"/>
              <w:rPr>
                <w:sz w:val="1"/>
                <w:szCs w:val="1"/>
                <w:color w:val="auto"/>
              </w:rPr>
            </w:pPr>
          </w:p>
        </w:tc>
      </w:tr>
      <w:tr>
        <w:trPr>
          <w:trHeight w:val="324"/>
        </w:trPr>
        <w:tc>
          <w:tcPr>
            <w:tcW w:w="1040" w:type="dxa"/>
            <w:vAlign w:val="bottom"/>
            <w:gridSpan w:val="2"/>
          </w:tcPr>
          <w:p>
            <w:pPr>
              <w:spacing w:after="0"/>
              <w:rPr>
                <w:sz w:val="20"/>
                <w:szCs w:val="20"/>
                <w:color w:val="auto"/>
              </w:rPr>
            </w:pPr>
            <w:r>
              <w:rPr>
                <w:rFonts w:ascii="Arial" w:cs="Arial" w:eastAsia="Arial" w:hAnsi="Arial"/>
                <w:sz w:val="18"/>
                <w:szCs w:val="18"/>
                <w:color w:val="auto"/>
              </w:rPr>
              <w:t>(d) Exhibits</w:t>
            </w:r>
          </w:p>
        </w:tc>
        <w:tc>
          <w:tcPr>
            <w:tcW w:w="9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9"/>
        </w:trPr>
        <w:tc>
          <w:tcPr>
            <w:tcW w:w="1040" w:type="dxa"/>
            <w:vAlign w:val="bottom"/>
            <w:gridSpan w:val="2"/>
          </w:tcPr>
          <w:p>
            <w:pPr>
              <w:ind w:left="20"/>
              <w:spacing w:after="0"/>
              <w:rPr>
                <w:sz w:val="20"/>
                <w:szCs w:val="20"/>
                <w:color w:val="auto"/>
              </w:rPr>
            </w:pPr>
            <w:r>
              <w:rPr>
                <w:rFonts w:ascii="Arial" w:cs="Arial" w:eastAsia="Arial" w:hAnsi="Arial"/>
                <w:sz w:val="14"/>
                <w:szCs w:val="14"/>
                <w:b w:val="1"/>
                <w:bCs w:val="1"/>
                <w:color w:val="auto"/>
              </w:rPr>
              <w:t>Exhibit</w:t>
            </w:r>
          </w:p>
        </w:tc>
        <w:tc>
          <w:tcPr>
            <w:tcW w:w="9980" w:type="dxa"/>
            <w:vAlign w:val="bottom"/>
            <w:vMerge w:val="restart"/>
          </w:tcPr>
          <w:p>
            <w:pPr>
              <w:spacing w:after="0"/>
              <w:rPr>
                <w:sz w:val="20"/>
                <w:szCs w:val="20"/>
                <w:color w:val="auto"/>
              </w:rPr>
            </w:pPr>
            <w:r>
              <w:rPr>
                <w:rFonts w:ascii="Arial" w:cs="Arial" w:eastAsia="Arial" w:hAnsi="Arial"/>
                <w:sz w:val="14"/>
                <w:szCs w:val="14"/>
                <w:b w:val="1"/>
                <w:bCs w:val="1"/>
                <w:color w:val="auto"/>
              </w:rPr>
              <w:t>Description of Exhibit</w:t>
            </w:r>
          </w:p>
        </w:tc>
        <w:tc>
          <w:tcPr>
            <w:tcW w:w="0" w:type="dxa"/>
            <w:vAlign w:val="bottom"/>
          </w:tcPr>
          <w:p>
            <w:pPr>
              <w:spacing w:after="0"/>
              <w:rPr>
                <w:sz w:val="1"/>
                <w:szCs w:val="1"/>
                <w:color w:val="auto"/>
              </w:rPr>
            </w:pPr>
          </w:p>
        </w:tc>
      </w:tr>
      <w:tr>
        <w:trPr>
          <w:trHeight w:val="171"/>
        </w:trPr>
        <w:tc>
          <w:tcPr>
            <w:tcW w:w="1040" w:type="dxa"/>
            <w:vAlign w:val="bottom"/>
            <w:gridSpan w:val="2"/>
          </w:tcPr>
          <w:p>
            <w:pPr>
              <w:spacing w:after="0"/>
              <w:rPr>
                <w:sz w:val="20"/>
                <w:szCs w:val="20"/>
                <w:color w:val="auto"/>
              </w:rPr>
            </w:pPr>
            <w:r>
              <w:rPr>
                <w:rFonts w:ascii="Arial" w:cs="Arial" w:eastAsia="Arial" w:hAnsi="Arial"/>
                <w:sz w:val="14"/>
                <w:szCs w:val="14"/>
                <w:b w:val="1"/>
                <w:bCs w:val="1"/>
                <w:color w:val="auto"/>
              </w:rPr>
              <w:t>Number</w:t>
            </w:r>
          </w:p>
        </w:tc>
        <w:tc>
          <w:tcPr>
            <w:tcW w:w="99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318"/>
        </w:trPr>
        <w:tc>
          <w:tcPr>
            <w:tcW w:w="5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99.1</w:t>
            </w:r>
          </w:p>
        </w:tc>
        <w:tc>
          <w:tcPr>
            <w:tcW w:w="540" w:type="dxa"/>
            <w:vAlign w:val="bottom"/>
          </w:tcPr>
          <w:p>
            <w:pPr>
              <w:spacing w:after="0"/>
              <w:rPr>
                <w:sz w:val="24"/>
                <w:szCs w:val="24"/>
                <w:color w:val="auto"/>
              </w:rPr>
            </w:pPr>
          </w:p>
        </w:tc>
        <w:tc>
          <w:tcPr>
            <w:tcW w:w="99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Press Release dated June 5, 2023</w:t>
            </w:r>
          </w:p>
        </w:tc>
        <w:tc>
          <w:tcPr>
            <w:tcW w:w="0" w:type="dxa"/>
            <w:vAlign w:val="bottom"/>
          </w:tcPr>
          <w:p>
            <w:pPr>
              <w:spacing w:after="0"/>
              <w:rPr>
                <w:sz w:val="1"/>
                <w:szCs w:val="1"/>
                <w:color w:val="auto"/>
              </w:rPr>
            </w:pPr>
          </w:p>
        </w:tc>
      </w:tr>
      <w:tr>
        <w:trPr>
          <w:trHeight w:val="324"/>
        </w:trPr>
        <w:tc>
          <w:tcPr>
            <w:tcW w:w="500" w:type="dxa"/>
            <w:vAlign w:val="bottom"/>
          </w:tcPr>
          <w:p>
            <w:pPr>
              <w:spacing w:after="0"/>
              <w:rPr>
                <w:sz w:val="20"/>
                <w:szCs w:val="20"/>
                <w:color w:val="auto"/>
              </w:rPr>
            </w:pPr>
            <w:r>
              <w:rPr>
                <w:rFonts w:ascii="Arial" w:cs="Arial" w:eastAsia="Arial" w:hAnsi="Arial"/>
                <w:sz w:val="18"/>
                <w:szCs w:val="18"/>
                <w:color w:val="auto"/>
              </w:rPr>
              <w:t>104</w:t>
            </w:r>
          </w:p>
        </w:tc>
        <w:tc>
          <w:tcPr>
            <w:tcW w:w="540" w:type="dxa"/>
            <w:vAlign w:val="bottom"/>
          </w:tcPr>
          <w:p>
            <w:pPr>
              <w:spacing w:after="0"/>
              <w:rPr>
                <w:sz w:val="24"/>
                <w:szCs w:val="24"/>
                <w:color w:val="auto"/>
              </w:rPr>
            </w:pPr>
          </w:p>
        </w:tc>
        <w:tc>
          <w:tcPr>
            <w:tcW w:w="9980" w:type="dxa"/>
            <w:vAlign w:val="bottom"/>
          </w:tcPr>
          <w:p>
            <w:pPr>
              <w:spacing w:after="0"/>
              <w:rPr>
                <w:sz w:val="20"/>
                <w:szCs w:val="20"/>
                <w:color w:val="auto"/>
              </w:rPr>
            </w:pPr>
            <w:r>
              <w:rPr>
                <w:rFonts w:ascii="Arial" w:cs="Arial" w:eastAsia="Arial" w:hAnsi="Arial"/>
                <w:sz w:val="18"/>
                <w:szCs w:val="18"/>
                <w:color w:val="auto"/>
              </w:rPr>
              <w:t>Cover Page Interactive Data File (embedded within the Inline XBRL document)</w:t>
            </w:r>
          </w:p>
        </w:tc>
        <w:tc>
          <w:tcPr>
            <w:tcW w:w="0" w:type="dxa"/>
            <w:vAlign w:val="bottom"/>
          </w:tcPr>
          <w:p>
            <w:pPr>
              <w:spacing w:after="0"/>
              <w:rPr>
                <w:sz w:val="1"/>
                <w:szCs w:val="1"/>
                <w:color w:val="auto"/>
              </w:rPr>
            </w:pPr>
          </w:p>
        </w:tc>
      </w:tr>
    </w:tbl>
    <w:p>
      <w:pPr>
        <w:sectPr>
          <w:pgSz w:w="11900" w:h="16838" w:orient="portrait"/>
          <w:cols w:equalWidth="0" w:num="1">
            <w:col w:w="11020"/>
          </w:cols>
          <w:pgMar w:left="440" w:top="486" w:right="439" w:bottom="1440" w:gutter="0" w:footer="0" w:header="0"/>
        </w:sectPr>
      </w:pPr>
    </w:p>
    <w:bookmarkStart w:id="3" w:name="page4"/>
    <w:bookmarkEnd w:id="3"/>
    <w:p>
      <w:pPr>
        <w:ind w:left="49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08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50800"/>
                    </a:xfrm>
                    <a:prstGeom prst="rect">
                      <a:avLst/>
                    </a:prstGeom>
                    <a:noFill/>
                  </pic:spPr>
                </pic:pic>
              </a:graphicData>
            </a:graphic>
          </wp:anchor>
        </w:drawing>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97"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Intellia Therapeutics, Inc.</w:t>
      </w:r>
    </w:p>
    <w:p>
      <w:pPr>
        <w:spacing w:after="0" w:line="225" w:lineRule="exact"/>
        <w:rPr>
          <w:sz w:val="20"/>
          <w:szCs w:val="20"/>
          <w:color w:val="auto"/>
        </w:rPr>
      </w:pPr>
    </w:p>
    <w:p>
      <w:pPr>
        <w:spacing w:after="0"/>
        <w:tabs>
          <w:tab w:leader="none" w:pos="5600" w:val="left"/>
          <w:tab w:leader="none" w:pos="6040" w:val="left"/>
        </w:tabs>
        <w:rPr>
          <w:sz w:val="20"/>
          <w:szCs w:val="20"/>
          <w:color w:val="auto"/>
        </w:rPr>
      </w:pPr>
      <w:r>
        <w:rPr>
          <w:rFonts w:ascii="Arial" w:cs="Arial" w:eastAsia="Arial" w:hAnsi="Arial"/>
          <w:sz w:val="18"/>
          <w:szCs w:val="18"/>
          <w:color w:val="auto"/>
        </w:rPr>
        <w:t>Date: June 5, 2023</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John M. Leonard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3846830</wp:posOffset>
            </wp:positionH>
            <wp:positionV relativeFrom="paragraph">
              <wp:posOffset>14605</wp:posOffset>
            </wp:positionV>
            <wp:extent cx="314579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30"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Name: John M. Leonard</w:t>
      </w:r>
    </w:p>
    <w:p>
      <w:pPr>
        <w:spacing w:after="0" w:line="9"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Title: Chief Executive Officer and President</w:t>
      </w:r>
    </w:p>
    <w:p>
      <w:pPr>
        <w:sectPr>
          <w:pgSz w:w="11900" w:h="16838" w:orient="portrait"/>
          <w:cols w:equalWidth="0" w:num="1">
            <w:col w:w="10320"/>
          </w:cols>
          <w:pgMar w:left="440" w:top="486" w:right="1139" w:bottom="1440" w:gutter="0" w:footer="0" w:header="0"/>
        </w:sectPr>
      </w:pPr>
    </w:p>
    <w:bookmarkStart w:id="4" w:name="page5"/>
    <w:bookmarkEnd w:id="4"/>
    <w:p>
      <w:pPr>
        <w:ind w:left="10080"/>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08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4865" cy="50800"/>
                    </a:xfrm>
                    <a:prstGeom prst="rect">
                      <a:avLst/>
                    </a:prstGeom>
                    <a:noFill/>
                  </pic:spPr>
                </pic:pic>
              </a:graphicData>
            </a:graphic>
          </wp:anchor>
        </w:drawing>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434340</wp:posOffset>
            </wp:positionH>
            <wp:positionV relativeFrom="paragraph">
              <wp:posOffset>186055</wp:posOffset>
            </wp:positionV>
            <wp:extent cx="6120765" cy="107188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120765" cy="10718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Intellia Therapeutics Announces Retirement of Jean-François Formela, M.D.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from Its Board of Directors</w:t>
      </w:r>
    </w:p>
    <w:p>
      <w:pPr>
        <w:spacing w:after="0" w:line="211"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color w:val="auto"/>
        </w:rPr>
        <w:t>CAMBRIDGE, Mass., June 5, 2023 (GLOBE NEWSWIRE) — Intellia Therapeutics, Inc. (NASDAQ:NTLA), a leading clinical-stage genome editing company focused on developing potentially curative therapeutics leveraging CRISPR-based technologies, today announced that Jean-François Formela, M.D. is retiring from its board of directors, effective June 15, 2023.</w:t>
      </w:r>
    </w:p>
    <w:p>
      <w:pPr>
        <w:spacing w:after="0" w:line="184"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“Working with the team at Intellia and seeing the company’s transformation from an idea to a leader in genome editing has been one of the most exciting journeys in my career,” said Jean-François Formela, M.D. “I am confident this is just the beginning for John and his team. I can’t wait to see Intellia’s next chapter and how they will transform the future of medicine.”</w:t>
      </w:r>
    </w:p>
    <w:p>
      <w:pPr>
        <w:spacing w:after="0" w:line="184"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Dr. Formela was a co-founder of Intellia and has served as a member of the board of directors since May 2014. Dr. Formela is currently a partner at Atlas Venture, a life-sciences focused venture capital firm.</w:t>
      </w:r>
    </w:p>
    <w:p>
      <w:pPr>
        <w:spacing w:after="0" w:line="170"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“It has been a privilege to serve alongside Jean-François, and I would like to thank him for both his vision and leadership over the past decade,” said Intellia President and Chief Executive Officer John Leonard, M.D. “Jean-François has played an instrumental role in our mission to advance the development of CRISPR-based therapies and transform the lives of people living with severe diseases. On behalf of the Board, we wish him continued success in his future endeavors.”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Intellia Therapeutics</w:t>
      </w:r>
    </w:p>
    <w:p>
      <w:pPr>
        <w:spacing w:after="0" w:line="121"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 xml:space="preserve">Intellia Therapeutics, a leading clinical-stage genome editing company, is developing novel, potentially curative therapeutics leveraging CRISPR-based technologies. To fully realize the transformative potential of CRISPR-based technologies, Intellia is pursuing two primary approaches. The company’s </w:t>
      </w:r>
      <w:r>
        <w:rPr>
          <w:rFonts w:ascii="Arial" w:cs="Arial" w:eastAsia="Arial" w:hAnsi="Arial"/>
          <w:sz w:val="17"/>
          <w:szCs w:val="17"/>
          <w:i w:val="1"/>
          <w:iCs w:val="1"/>
          <w:color w:val="auto"/>
        </w:rPr>
        <w:t>in</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vivo </w:t>
      </w:r>
      <w:r>
        <w:rPr>
          <w:rFonts w:ascii="Arial" w:cs="Arial" w:eastAsia="Arial" w:hAnsi="Arial"/>
          <w:sz w:val="17"/>
          <w:szCs w:val="17"/>
          <w:color w:val="auto"/>
        </w:rPr>
        <w:t>programs use intravenously administered CRISPR as the therapy, in which proprietary delivery technology enables highly precise editing of</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disease-causing genes directly within specific target tissues. Intellia’s </w:t>
      </w:r>
      <w:r>
        <w:rPr>
          <w:rFonts w:ascii="Arial" w:cs="Arial" w:eastAsia="Arial" w:hAnsi="Arial"/>
          <w:sz w:val="17"/>
          <w:szCs w:val="17"/>
          <w:i w:val="1"/>
          <w:iCs w:val="1"/>
          <w:color w:val="auto"/>
        </w:rPr>
        <w:t>ex vivo</w:t>
      </w:r>
      <w:r>
        <w:rPr>
          <w:rFonts w:ascii="Arial" w:cs="Arial" w:eastAsia="Arial" w:hAnsi="Arial"/>
          <w:sz w:val="17"/>
          <w:szCs w:val="17"/>
          <w:color w:val="auto"/>
        </w:rPr>
        <w:t xml:space="preserve"> programs use CRISPR to create the therapy by using engineered human cells to treat cancer and autoimmune diseases. Intellia’s deep scientific, technical and clinical development experience, along with its robust intellectual property portfolio, have enabled the company to take a leadership role in harnessing the full potential of genome editing to create new classes of genetic medicine. Learn more at </w:t>
      </w:r>
      <w:r>
        <w:rPr>
          <w:rFonts w:ascii="Arial" w:cs="Arial" w:eastAsia="Arial" w:hAnsi="Arial"/>
          <w:sz w:val="17"/>
          <w:szCs w:val="17"/>
          <w:u w:val="single" w:color="auto"/>
          <w:color w:val="auto"/>
        </w:rPr>
        <w:t>intelliatx.com</w:t>
      </w:r>
      <w:r>
        <w:rPr>
          <w:rFonts w:ascii="Arial" w:cs="Arial" w:eastAsia="Arial" w:hAnsi="Arial"/>
          <w:sz w:val="17"/>
          <w:szCs w:val="17"/>
          <w:color w:val="auto"/>
        </w:rPr>
        <w:t>. Follow us on Twitter @intelliatx.</w:t>
      </w:r>
    </w:p>
    <w:p>
      <w:pPr>
        <w:spacing w:after="0" w:line="110" w:lineRule="exact"/>
        <w:rPr>
          <w:sz w:val="20"/>
          <w:szCs w:val="20"/>
          <w:color w:val="auto"/>
        </w:rPr>
      </w:pPr>
    </w:p>
    <w:p>
      <w:pPr>
        <w:spacing w:after="0"/>
        <w:tabs>
          <w:tab w:leader="none" w:pos="10000" w:val="left"/>
        </w:tabs>
        <w:rPr>
          <w:sz w:val="20"/>
          <w:szCs w:val="20"/>
          <w:color w:val="auto"/>
        </w:rPr>
      </w:pPr>
      <w:r>
        <w:rPr>
          <w:rFonts w:ascii="Arial" w:cs="Arial" w:eastAsia="Arial" w:hAnsi="Arial"/>
          <w:sz w:val="18"/>
          <w:szCs w:val="18"/>
          <w:color w:val="auto"/>
        </w:rPr>
        <w:t>Page 1 of 3</w:t>
      </w:r>
      <w:r>
        <w:rPr>
          <w:sz w:val="20"/>
          <w:szCs w:val="20"/>
          <w:color w:val="auto"/>
        </w:rPr>
        <w:tab/>
      </w:r>
      <w:r>
        <w:rPr>
          <w:rFonts w:ascii="Arial" w:cs="Arial" w:eastAsia="Arial" w:hAnsi="Arial"/>
          <w:sz w:val="17"/>
          <w:szCs w:val="17"/>
          <w:color w:val="auto"/>
        </w:rPr>
        <w:t>intelliatx.com</w:t>
      </w:r>
    </w:p>
    <w:p>
      <w:pPr>
        <w:sectPr>
          <w:pgSz w:w="11900" w:h="16838" w:orient="portrait"/>
          <w:cols w:equalWidth="0" w:num="1">
            <w:col w:w="11020"/>
          </w:cols>
          <w:pgMar w:left="440" w:top="486" w:right="43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080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4865" cy="50800"/>
                    </a:xfrm>
                    <a:prstGeom prst="rect">
                      <a:avLst/>
                    </a:prstGeom>
                    <a:noFill/>
                  </pic:spPr>
                </pic:pic>
              </a:graphicData>
            </a:graphic>
          </wp:anchor>
        </w:drawing>
        <w:t>Forward-Looking Statements</w:t>
      </w:r>
    </w:p>
    <w:p>
      <w:pPr>
        <w:spacing w:after="0" w:line="121"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This press release contains “forward-looking statements” of Intellia Therapeutics, Inc. (“Intellia”, “we” or “our”) within the meaning of the Private Securities Litigation Reform Act of 1995. These forward-looking statements include, but are not limited to, express or implied statements regarding Intellia’s beliefs and expectations regarding our ability to advance the development of our CRISPR-based platform and programs to transform the future of medicine and the anticipated contribution of our executives to our operations and progress.</w:t>
      </w:r>
    </w:p>
    <w:p>
      <w:pPr>
        <w:spacing w:after="0" w:line="187" w:lineRule="exact"/>
        <w:rPr>
          <w:sz w:val="20"/>
          <w:szCs w:val="20"/>
          <w:color w:val="auto"/>
        </w:rPr>
      </w:pPr>
    </w:p>
    <w:p>
      <w:pPr>
        <w:ind w:right="100"/>
        <w:spacing w:after="0" w:line="271" w:lineRule="auto"/>
        <w:rPr>
          <w:sz w:val="20"/>
          <w:szCs w:val="20"/>
          <w:color w:val="auto"/>
        </w:rPr>
      </w:pPr>
      <w:r>
        <w:rPr>
          <w:rFonts w:ascii="Arial" w:cs="Arial" w:eastAsia="Arial" w:hAnsi="Arial"/>
          <w:sz w:val="17"/>
          <w:szCs w:val="17"/>
          <w:color w:val="auto"/>
        </w:rPr>
        <w:t>Any forward-looking statements in this press release are based on management’s current expectations and beliefs of future events, and are subject to a number of risks and uncertainties that could cause actual results to differ materially and adversely from those set forth in or implied by such forward-looking statements. These risks and uncertainties include, but are not limited to: the risk that our CRISPR-based platform and programs will not be successfully developed and commercialized. For a discussion of these and other risks and uncertainties, and other important factors, any of which could cause Intellia’s actual results to differ from those contained in the forward-looking statements, see the section entitled “Risk Factors” in Intellia’s most recent annual report on Form 10-K and quarterly report on Form 10-Q, as well as discussions of potential risks, uncertainties, and other important factors in Intellia’s other filings with the Securities and Exchange Commission. All information in this press release is as of the date of the release, and Intellia undertakes no duty to update this information unless required by law.</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Intellia Contacts:</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Ian Karp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Senior Vice President, Investor Relations and Corporate Communications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+1-857-449-4175</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ian.karp@intelliatx.com</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Lina Li</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Senior Director, Investor Relations and Corporate Communications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+1-857-706-1612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lina.li@intelliatx.com</w:t>
      </w:r>
    </w:p>
    <w:p>
      <w:pPr>
        <w:spacing w:after="0" w:line="143" w:lineRule="exact"/>
        <w:rPr>
          <w:sz w:val="20"/>
          <w:szCs w:val="20"/>
          <w:color w:val="auto"/>
        </w:rPr>
      </w:pPr>
    </w:p>
    <w:p>
      <w:pPr>
        <w:spacing w:after="0"/>
        <w:tabs>
          <w:tab w:leader="none" w:pos="10000" w:val="left"/>
        </w:tabs>
        <w:rPr>
          <w:sz w:val="20"/>
          <w:szCs w:val="20"/>
          <w:color w:val="auto"/>
        </w:rPr>
      </w:pPr>
      <w:r>
        <w:rPr>
          <w:rFonts w:ascii="Arial" w:cs="Arial" w:eastAsia="Arial" w:hAnsi="Arial"/>
          <w:sz w:val="18"/>
          <w:szCs w:val="18"/>
          <w:color w:val="auto"/>
        </w:rPr>
        <w:t>Page 2 of 3</w:t>
      </w:r>
      <w:r>
        <w:rPr>
          <w:sz w:val="20"/>
          <w:szCs w:val="20"/>
          <w:color w:val="auto"/>
        </w:rPr>
        <w:tab/>
      </w:r>
      <w:r>
        <w:rPr>
          <w:rFonts w:ascii="Arial" w:cs="Arial" w:eastAsia="Arial" w:hAnsi="Arial"/>
          <w:sz w:val="17"/>
          <w:szCs w:val="17"/>
          <w:color w:val="auto"/>
        </w:rPr>
        <w:t>intelliatx.com</w:t>
      </w:r>
    </w:p>
    <w:p>
      <w:pPr>
        <w:sectPr>
          <w:pgSz w:w="11900" w:h="16838" w:orient="portrait"/>
          <w:cols w:equalWidth="0" w:num="1">
            <w:col w:w="11020"/>
          </w:cols>
          <w:pgMar w:left="440" w:top="486" w:right="43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080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4865" cy="50800"/>
                    </a:xfrm>
                    <a:prstGeom prst="rect">
                      <a:avLst/>
                    </a:prstGeom>
                    <a:noFill/>
                  </pic:spPr>
                </pic:pic>
              </a:graphicData>
            </a:graphic>
          </wp:anchor>
        </w:drawing>
        <w:t>Media:</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Matt Crenson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Ten Bridge Communications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+1-917-640-7930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media@intelliatx.com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TBCIntellia@tenbridgecommunications.com</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 #</w:t>
      </w:r>
    </w:p>
    <w:p>
      <w:pPr>
        <w:spacing w:after="0" w:line="158" w:lineRule="exact"/>
        <w:rPr>
          <w:sz w:val="20"/>
          <w:szCs w:val="20"/>
          <w:color w:val="auto"/>
        </w:rPr>
      </w:pPr>
    </w:p>
    <w:p>
      <w:pPr>
        <w:spacing w:after="0"/>
        <w:tabs>
          <w:tab w:leader="none" w:pos="10000" w:val="left"/>
        </w:tabs>
        <w:rPr>
          <w:sz w:val="20"/>
          <w:szCs w:val="20"/>
          <w:color w:val="auto"/>
        </w:rPr>
      </w:pPr>
      <w:r>
        <w:rPr>
          <w:rFonts w:ascii="Arial" w:cs="Arial" w:eastAsia="Arial" w:hAnsi="Arial"/>
          <w:sz w:val="18"/>
          <w:szCs w:val="18"/>
          <w:color w:val="auto"/>
        </w:rPr>
        <w:t>Page 3 of 3</w:t>
      </w:r>
      <w:r>
        <w:rPr>
          <w:sz w:val="20"/>
          <w:szCs w:val="20"/>
          <w:color w:val="auto"/>
        </w:rPr>
        <w:tab/>
      </w:r>
      <w:r>
        <w:rPr>
          <w:rFonts w:ascii="Arial" w:cs="Arial" w:eastAsia="Arial" w:hAnsi="Arial"/>
          <w:sz w:val="17"/>
          <w:szCs w:val="17"/>
          <w:color w:val="auto"/>
        </w:rPr>
        <w:t>intelliatx.com</w:t>
      </w:r>
    </w:p>
    <w:sectPr>
      <w:pgSz w:w="11900" w:h="16838" w:orient="portrait"/>
      <w:cols w:equalWidth="0" w:num="1">
        <w:col w:w="11020"/>
      </w:cols>
      <w:pgMar w:left="440" w:top="486"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AE8944A"/>
    <w:multiLevelType w:val="hybridMultilevel"/>
    <w:lvl w:ilvl="0">
      <w:lvlJc w:val="left"/>
      <w:lvlText w:val="☐"/>
      <w:numFmt w:val="bullet"/>
      <w:start w:val="1"/>
    </w:lvl>
  </w:abstractNum>
  <w:abstractNum w:abstractNumId="1">
    <w:nsid w:val="625558EC"/>
    <w:multiLevelType w:val="hybridMultilevel"/>
    <w:lvl w:ilvl="0">
      <w:lvlJc w:val="left"/>
      <w:lvlText w:val="☒"/>
      <w:numFmt w:val="bullet"/>
      <w:start w:val="1"/>
    </w:lvl>
  </w:abstractNum>
  <w:abstractNum w:abstractNumId="2">
    <w:nsid w:val="238E1F29"/>
    <w:multiLevelType w:val="hybridMultilevel"/>
    <w:lvl w:ilvl="0">
      <w:lvlJc w:val="left"/>
      <w:lvlText w:val="☐"/>
      <w:numFmt w:val="bullet"/>
      <w:start w:val="1"/>
    </w:lvl>
  </w:abstractNum>
  <w:abstractNum w:abstractNumId="3">
    <w:nsid w:val="46E87CCD"/>
    <w:multiLevelType w:val="hybridMultilevel"/>
    <w:lvl w:ilvl="0">
      <w:lvlJc w:val="left"/>
      <w:lvlText w:val="☒"/>
      <w:numFmt w:val="bullet"/>
      <w:start w:val="1"/>
    </w:lvl>
  </w:abstractNum>
  <w:abstractNum w:abstractNumId="4">
    <w:nsid w:val="3D1B58BA"/>
    <w:multiLevelType w:val="hybridMultilevel"/>
    <w:lvl w:ilvl="0">
      <w:lvlJc w:val="left"/>
      <w:lvlText w:val="☐"/>
      <w:numFmt w:val="bullet"/>
      <w:start w:val="1"/>
    </w:lvl>
  </w:abstractNum>
  <w:abstractNum w:abstractNumId="5">
    <w:nsid w:val="507ED7AB"/>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jpeg"/><Relationship Id="rId29" Type="http://schemas.openxmlformats.org/officeDocument/2006/relationships/image" Target="media/image22.png"/><Relationship Id="rId30" Type="http://schemas.openxmlformats.org/officeDocument/2006/relationships/image" Target="media/image2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2023-06-05T16:20:49Z</dcterms:created>
  <dcterms:modified xsi:type="dcterms:W3CDTF">2023-06-05T16:20:49Z</dcterms:modified>
</cp:coreProperties>
</file>