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94615</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103505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4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5" w:lineRule="exact"/>
        <w:rPr>
          <w:sz w:val="24"/>
          <w:szCs w:val="24"/>
          <w:color w:val="auto"/>
        </w:rPr>
      </w:pPr>
    </w:p>
    <w:p>
      <w:pPr>
        <w:ind w:left="40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3923030</wp:posOffset>
            </wp:positionH>
            <wp:positionV relativeFrom="paragraph">
              <wp:posOffset>-15875</wp:posOffset>
            </wp:positionV>
            <wp:extent cx="651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001-37766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106045</wp:posOffset>
            </wp:positionV>
            <wp:extent cx="1611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INTELLIA THERAPEUTICS,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103505</wp:posOffset>
            </wp:positionV>
            <wp:extent cx="1611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p>
      <w:pPr>
        <w:spacing w:after="0" w:line="284"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36-4785571</w:t>
      </w:r>
    </w:p>
    <w:p>
      <w:pPr>
        <w:spacing w:after="0" w:line="49" w:lineRule="exact"/>
        <w:rPr>
          <w:sz w:val="24"/>
          <w:szCs w:val="24"/>
          <w:color w:val="auto"/>
        </w:rPr>
      </w:pPr>
    </w:p>
    <w:p>
      <w:pPr>
        <w:sectPr>
          <w:pgSz w:w="11900" w:h="16838" w:orient="portrait"/>
          <w:cols w:equalWidth="0" w:num="2">
            <w:col w:w="7320" w:space="720"/>
            <w:col w:w="3200"/>
          </w:cols>
          <w:pgMar w:left="320" w:top="719" w:right="339" w:bottom="1440" w:gutter="0" w:footer="0" w:header="0"/>
          <w:type w:val="continuous"/>
        </w:sectPr>
      </w:pPr>
    </w:p>
    <w:p>
      <w:pPr>
        <w:ind w:left="1940"/>
        <w:spacing w:after="0"/>
        <w:rPr>
          <w:sz w:val="20"/>
          <w:szCs w:val="20"/>
          <w:color w:val="auto"/>
        </w:rPr>
      </w:pPr>
      <w:r>
        <w:rPr>
          <w:rFonts w:ascii="Arial" w:cs="Arial" w:eastAsia="Arial" w:hAnsi="Arial"/>
          <w:sz w:val="12"/>
          <w:szCs w:val="12"/>
          <w:b w:val="1"/>
          <w:bCs w:val="1"/>
          <w:color w:val="auto"/>
        </w:rPr>
        <w:t>(State or Other Jurisdiction of</w:t>
      </w:r>
    </w:p>
    <w:p>
      <w:pPr>
        <w:spacing w:after="0" w:line="18"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17" w:lineRule="exact"/>
        <w:rPr>
          <w:sz w:val="24"/>
          <w:szCs w:val="24"/>
          <w:color w:val="auto"/>
        </w:rPr>
      </w:pPr>
    </w:p>
    <w:p>
      <w:pPr>
        <w:sectPr>
          <w:pgSz w:w="11900" w:h="16838" w:orient="portrait"/>
          <w:cols w:equalWidth="0" w:num="2">
            <w:col w:w="7180" w:space="720"/>
            <w:col w:w="3340"/>
          </w:cols>
          <w:pgMar w:left="320" w:top="719" w:right="339" w:bottom="1440" w:gutter="0" w:footer="0" w:header="0"/>
          <w:type w:val="continuous"/>
        </w:sectPr>
      </w:pPr>
    </w:p>
    <w:p>
      <w:pPr>
        <w:ind w:left="1020"/>
        <w:spacing w:after="0"/>
        <w:rPr>
          <w:sz w:val="20"/>
          <w:szCs w:val="20"/>
          <w:color w:val="auto"/>
        </w:rPr>
      </w:pPr>
      <w:r>
        <w:rPr>
          <w:rFonts w:ascii="Arial" w:cs="Arial" w:eastAsia="Arial" w:hAnsi="Arial"/>
          <w:sz w:val="14"/>
          <w:szCs w:val="14"/>
          <w:b w:val="1"/>
          <w:bCs w:val="1"/>
          <w:color w:val="auto"/>
        </w:rPr>
        <w:t>40 Erie Street, Suite 130, Cambridge, 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02139</w:t>
      </w:r>
    </w:p>
    <w:p>
      <w:pPr>
        <w:spacing w:after="0" w:line="38" w:lineRule="exact"/>
        <w:rPr>
          <w:sz w:val="24"/>
          <w:szCs w:val="24"/>
          <w:color w:val="auto"/>
        </w:rPr>
      </w:pPr>
    </w:p>
    <w:p>
      <w:pPr>
        <w:sectPr>
          <w:pgSz w:w="11900" w:h="16838" w:orient="portrait"/>
          <w:cols w:equalWidth="0" w:num="2">
            <w:col w:w="7500" w:space="720"/>
            <w:col w:w="3020"/>
          </w:cols>
          <w:pgMar w:left="320" w:top="719" w:right="33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11" w:lineRule="exact"/>
        <w:rPr>
          <w:sz w:val="24"/>
          <w:szCs w:val="24"/>
          <w:color w:val="auto"/>
        </w:rPr>
      </w:pPr>
    </w:p>
    <w:p>
      <w:pPr>
        <w:sectPr>
          <w:pgSz w:w="11900" w:h="16838" w:orient="portrait"/>
          <w:cols w:equalWidth="0" w:num="2">
            <w:col w:w="7400" w:space="720"/>
            <w:col w:w="3120"/>
          </w:cols>
          <w:pgMar w:left="320" w:top="719"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857-285-6200</w:t>
      </w:r>
    </w:p>
    <w:p>
      <w:pPr>
        <w:spacing w:after="0" w:line="26" w:lineRule="exact"/>
        <w:rPr>
          <w:sz w:val="24"/>
          <w:szCs w:val="24"/>
          <w:color w:val="auto"/>
        </w:rPr>
      </w:pPr>
    </w:p>
    <w:p>
      <w:pPr>
        <w:ind w:left="4000"/>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25" w:lineRule="exact"/>
        <w:rPr>
          <w:sz w:val="24"/>
          <w:szCs w:val="24"/>
          <w:color w:val="auto"/>
        </w:rPr>
      </w:pPr>
    </w:p>
    <w:p>
      <w:pPr>
        <w:ind w:left="540"/>
        <w:spacing w:after="0"/>
        <w:rPr>
          <w:sz w:val="20"/>
          <w:szCs w:val="20"/>
          <w:color w:val="auto"/>
        </w:rPr>
      </w:pPr>
      <w:r>
        <w:rPr>
          <w:rFonts w:ascii="Arial" w:cs="Arial" w:eastAsia="Arial" w:hAnsi="Arial"/>
          <w:sz w:val="15"/>
          <w:szCs w:val="15"/>
          <w:color w:val="auto"/>
        </w:rPr>
        <w:t>Securities Registered Pursuant to Section 12(b) of the Act:</w:t>
      </w:r>
    </w:p>
    <w:p>
      <w:pPr>
        <w:sectPr>
          <w:pgSz w:w="11900" w:h="16838" w:orient="portrait"/>
          <w:cols w:equalWidth="0" w:num="1">
            <w:col w:w="11240"/>
          </w:cols>
          <w:pgMar w:left="320" w:top="719" w:right="339" w:bottom="1440" w:gutter="0" w:footer="0" w:header="0"/>
          <w:type w:val="continuous"/>
        </w:sectPr>
      </w:pPr>
    </w:p>
    <w:p>
      <w:pPr>
        <w:spacing w:after="0" w:line="107" w:lineRule="exact"/>
        <w:rPr>
          <w:sz w:val="24"/>
          <w:szCs w:val="24"/>
          <w:color w:val="auto"/>
        </w:rPr>
      </w:pPr>
    </w:p>
    <w:p>
      <w:pPr>
        <w:ind w:left="126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Trade Symbol(s)</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Name of each exchange on which registered</w:t>
      </w:r>
    </w:p>
    <w:p>
      <w:pPr>
        <w:spacing w:after="0" w:line="49" w:lineRule="exact"/>
        <w:rPr>
          <w:sz w:val="24"/>
          <w:szCs w:val="24"/>
          <w:color w:val="auto"/>
        </w:rPr>
      </w:pPr>
    </w:p>
    <w:p>
      <w:pPr>
        <w:sectPr>
          <w:pgSz w:w="11900" w:h="16838" w:orient="portrait"/>
          <w:cols w:equalWidth="0" w:num="3">
            <w:col w:w="4220" w:space="720"/>
            <w:col w:w="2160" w:space="720"/>
            <w:col w:w="3420"/>
          </w:cols>
          <w:pgMar w:left="320" w:top="719" w:right="339" w:bottom="1440" w:gutter="0" w:footer="0" w:header="0"/>
          <w:type w:val="continuous"/>
        </w:sectPr>
      </w:pPr>
    </w:p>
    <w:p>
      <w:pPr>
        <w:ind w:left="500"/>
        <w:spacing w:after="0"/>
        <w:rPr>
          <w:sz w:val="20"/>
          <w:szCs w:val="20"/>
          <w:color w:val="auto"/>
        </w:rPr>
      </w:pPr>
      <w:r>
        <w:rPr>
          <w:rFonts w:ascii="Arial" w:cs="Arial" w:eastAsia="Arial" w:hAnsi="Arial"/>
          <w:sz w:val="13"/>
          <w:szCs w:val="13"/>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NTLA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Market</w:t>
      </w:r>
    </w:p>
    <w:p>
      <w:pPr>
        <w:spacing w:after="0" w:line="117" w:lineRule="exact"/>
        <w:rPr>
          <w:sz w:val="24"/>
          <w:szCs w:val="24"/>
          <w:color w:val="auto"/>
        </w:rPr>
      </w:pPr>
    </w:p>
    <w:p>
      <w:pPr>
        <w:sectPr>
          <w:pgSz w:w="11900" w:h="16838" w:orient="portrait"/>
          <w:cols w:equalWidth="0" w:num="3">
            <w:col w:w="4560" w:space="720"/>
            <w:col w:w="2400" w:space="720"/>
            <w:col w:w="2840"/>
          </w:cols>
          <w:pgMar w:left="320" w:top="719" w:right="339" w:bottom="1440" w:gutter="0" w:footer="0" w:header="0"/>
          <w:type w:val="continuous"/>
        </w:sectPr>
      </w:pPr>
    </w:p>
    <w:p>
      <w:pPr>
        <w:ind w:firstLine="538"/>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firstLine="538"/>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ind w:firstLine="538"/>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28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500"/>
              <w:spacing w:after="0"/>
              <w:rPr>
                <w:sz w:val="20"/>
                <w:szCs w:val="20"/>
                <w:color w:val="auto"/>
              </w:rPr>
            </w:pPr>
            <w:r>
              <w:rPr>
                <w:rFonts w:ascii="Arial" w:cs="Arial" w:eastAsia="Arial" w:hAnsi="Arial"/>
                <w:sz w:val="15"/>
                <w:szCs w:val="15"/>
                <w:color w:val="auto"/>
              </w:rPr>
              <w:t>Accelerated filer</w:t>
            </w:r>
          </w:p>
        </w:tc>
        <w:tc>
          <w:tcPr>
            <w:tcW w:w="760" w:type="dxa"/>
            <w:vAlign w:val="bottom"/>
          </w:tcPr>
          <w:p>
            <w:pPr>
              <w:ind w:left="6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2320" w:type="dxa"/>
            <w:vAlign w:val="bottom"/>
          </w:tcPr>
          <w:p>
            <w:pPr>
              <w:spacing w:after="0"/>
              <w:rPr>
                <w:sz w:val="20"/>
                <w:szCs w:val="20"/>
                <w:color w:val="auto"/>
              </w:rPr>
            </w:pPr>
            <w:r>
              <w:rPr>
                <w:rFonts w:ascii="Arial" w:cs="Arial" w:eastAsia="Arial" w:hAnsi="Arial"/>
                <w:sz w:val="15"/>
                <w:szCs w:val="15"/>
                <w:color w:val="auto"/>
              </w:rPr>
              <w:t>Non-accelerated filer</w:t>
            </w:r>
          </w:p>
        </w:tc>
        <w:tc>
          <w:tcPr>
            <w:tcW w:w="328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2500"/>
              <w:spacing w:after="0"/>
              <w:rPr>
                <w:sz w:val="20"/>
                <w:szCs w:val="20"/>
                <w:color w:val="auto"/>
              </w:rPr>
            </w:pPr>
            <w:r>
              <w:rPr>
                <w:rFonts w:ascii="Arial" w:cs="Arial" w:eastAsia="Arial" w:hAnsi="Arial"/>
                <w:sz w:val="15"/>
                <w:szCs w:val="15"/>
                <w:color w:val="auto"/>
              </w:rPr>
              <w:t>Smaller reporting company</w:t>
            </w:r>
          </w:p>
        </w:tc>
        <w:tc>
          <w:tcPr>
            <w:tcW w:w="760" w:type="dxa"/>
            <w:vAlign w:val="bottom"/>
          </w:tcPr>
          <w:p>
            <w:pPr>
              <w:ind w:left="6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2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28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73" w:lineRule="exact"/>
        <w:rPr>
          <w:sz w:val="24"/>
          <w:szCs w:val="24"/>
          <w:color w:val="auto"/>
        </w:rPr>
      </w:pPr>
    </w:p>
    <w:p>
      <w:pPr>
        <w:ind w:firstLine="538"/>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ind w:left="540" w:right="3280"/>
        <w:spacing w:after="0" w:line="25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outstanding of the registrant’s common stock as of July 30, 2021: 73,487,046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429895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60" w:type="dxa"/>
            <w:vAlign w:val="bottom"/>
            <w:gridSpan w:val="11"/>
          </w:tcPr>
          <w:p>
            <w:pPr>
              <w:jc w:val="center"/>
              <w:ind w:right="38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720" w:type="dxa"/>
            <w:vAlign w:val="bottom"/>
          </w:tcPr>
          <w:p>
            <w:pPr>
              <w:spacing w:after="0"/>
              <w:rPr>
                <w:sz w:val="17"/>
                <w:szCs w:val="17"/>
                <w:color w:val="auto"/>
              </w:rPr>
            </w:pPr>
          </w:p>
        </w:tc>
      </w:tr>
      <w:tr>
        <w:trPr>
          <w:trHeight w:val="412"/>
        </w:trPr>
        <w:tc>
          <w:tcPr>
            <w:tcW w:w="3160" w:type="dxa"/>
            <w:vAlign w:val="bottom"/>
            <w:tcBorders>
              <w:bottom w:val="single" w:sz="8" w:color="0000EE"/>
            </w:tcBorders>
            <w:gridSpan w:val="6"/>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Item 1. Financial Statements (unaudited)</w:t>
              </w:r>
            </w:hyperlink>
          </w:p>
        </w:tc>
        <w:tc>
          <w:tcPr>
            <w:tcW w:w="400" w:type="dxa"/>
            <w:vAlign w:val="bottom"/>
          </w:tcPr>
          <w:p>
            <w:pPr>
              <w:spacing w:after="0"/>
              <w:rPr>
                <w:sz w:val="24"/>
                <w:szCs w:val="24"/>
                <w:color w:val="auto"/>
              </w:rPr>
            </w:pPr>
          </w:p>
        </w:tc>
        <w:tc>
          <w:tcPr>
            <w:tcW w:w="3120" w:type="dxa"/>
            <w:vAlign w:val="bottom"/>
            <w:tcBorders>
              <w:top w:val="single" w:sz="8" w:color="0000EE"/>
            </w:tcBorders>
            <w:gridSpan w:val="7"/>
          </w:tcPr>
          <w:p>
            <w:pPr>
              <w:spacing w:after="0"/>
              <w:rPr>
                <w:sz w:val="24"/>
                <w:szCs w:val="24"/>
                <w:color w:val="auto"/>
              </w:rPr>
            </w:pPr>
          </w:p>
        </w:tc>
        <w:tc>
          <w:tcPr>
            <w:tcW w:w="384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r>
      <w:tr>
        <w:trPr>
          <w:trHeight w:val="412"/>
        </w:trPr>
        <w:tc>
          <w:tcPr>
            <w:tcW w:w="105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2021 and December 31, 2020</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10520" w:type="dxa"/>
            <w:vAlign w:val="bottom"/>
            <w:gridSpan w:val="18"/>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and Comprehensive Loss for the Three and Six Months Ended June 30, 2021 and 2020</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9960" w:type="dxa"/>
            <w:vAlign w:val="bottom"/>
            <w:tcBorders>
              <w:top w:val="single" w:sz="8" w:color="0000EE"/>
            </w:tcBorders>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2021 and 2020</w:t>
              </w:r>
            </w:hyperlink>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738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314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10520" w:type="dxa"/>
            <w:vAlign w:val="bottom"/>
            <w:gridSpan w:val="18"/>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 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5260" w:type="dxa"/>
            <w:vAlign w:val="bottom"/>
            <w:tcBorders>
              <w:top w:val="single" w:sz="8" w:color="0000EE"/>
              <w:bottom w:val="single" w:sz="8" w:color="0000EE"/>
            </w:tcBorders>
            <w:gridSpan w:val="11"/>
          </w:tcPr>
          <w:p>
            <w:pPr>
              <w:spacing w:after="0"/>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3. Quantitative and Qualitative Disclosures About Market Risk</w:t>
              </w:r>
            </w:hyperlink>
          </w:p>
        </w:tc>
        <w:tc>
          <w:tcPr>
            <w:tcW w:w="2160" w:type="dxa"/>
            <w:vAlign w:val="bottom"/>
            <w:tcBorders>
              <w:top w:val="single" w:sz="8" w:color="0000EE"/>
            </w:tcBorders>
            <w:gridSpan w:val="5"/>
          </w:tcPr>
          <w:p>
            <w:pPr>
              <w:spacing w:after="0"/>
              <w:rPr>
                <w:sz w:val="24"/>
                <w:szCs w:val="24"/>
                <w:color w:val="auto"/>
              </w:rPr>
            </w:pPr>
          </w:p>
        </w:tc>
        <w:tc>
          <w:tcPr>
            <w:tcW w:w="31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10520" w:type="dxa"/>
            <w:vAlign w:val="bottom"/>
            <w:gridSpan w:val="18"/>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Item 4. Controls and Procedures</w:t>
              </w:r>
              <w:r>
                <w:rPr>
                  <w:rFonts w:ascii="Arial" w:cs="Arial" w:eastAsia="Arial" w:hAnsi="Arial"/>
                  <w:sz w:val="18"/>
                  <w:szCs w:val="18"/>
                  <w:color w:val="0000EE"/>
                </w:rPr>
                <w:t>.</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8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60" w:type="dxa"/>
            <w:vAlign w:val="bottom"/>
            <w:gridSpan w:val="11"/>
          </w:tcPr>
          <w:p>
            <w:pPr>
              <w:jc w:val="center"/>
              <w:ind w:right="382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 OTHER INFORMATION</w:t>
              </w:r>
            </w:hyperlink>
          </w:p>
        </w:tc>
        <w:tc>
          <w:tcPr>
            <w:tcW w:w="720" w:type="dxa"/>
            <w:vAlign w:val="bottom"/>
          </w:tcPr>
          <w:p>
            <w:pPr>
              <w:spacing w:after="0"/>
              <w:rPr>
                <w:sz w:val="24"/>
                <w:szCs w:val="24"/>
                <w:color w:val="auto"/>
              </w:rPr>
            </w:pPr>
          </w:p>
        </w:tc>
      </w:tr>
      <w:tr>
        <w:trPr>
          <w:trHeight w:val="196"/>
        </w:trPr>
        <w:tc>
          <w:tcPr>
            <w:tcW w:w="200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9"/>
              </w:rPr>
            </w:pPr>
            <w:hyperlink w:anchor="page33">
              <w:r>
                <w:rPr>
                  <w:rFonts w:ascii="Arial" w:cs="Arial" w:eastAsia="Arial" w:hAnsi="Arial"/>
                  <w:sz w:val="18"/>
                  <w:szCs w:val="18"/>
                  <w:b w:val="1"/>
                  <w:bCs w:val="1"/>
                  <w:color w:val="0000EE"/>
                  <w:w w:val="89"/>
                </w:rPr>
                <w:t>Item 1. Legal Proceedings</w:t>
              </w:r>
            </w:hyperlink>
          </w:p>
        </w:tc>
        <w:tc>
          <w:tcPr>
            <w:tcW w:w="1720" w:type="dxa"/>
            <w:vAlign w:val="bottom"/>
            <w:gridSpan w:val="4"/>
          </w:tcPr>
          <w:p>
            <w:pPr>
              <w:spacing w:after="0"/>
              <w:rPr>
                <w:sz w:val="17"/>
                <w:szCs w:val="17"/>
                <w:color w:val="auto"/>
              </w:rPr>
            </w:pPr>
          </w:p>
        </w:tc>
        <w:tc>
          <w:tcPr>
            <w:tcW w:w="2820" w:type="dxa"/>
            <w:vAlign w:val="bottom"/>
            <w:tcBorders>
              <w:top w:val="single" w:sz="8" w:color="0000EE"/>
            </w:tcBorders>
            <w:gridSpan w:val="5"/>
          </w:tcPr>
          <w:p>
            <w:pPr>
              <w:spacing w:after="0"/>
              <w:rPr>
                <w:sz w:val="17"/>
                <w:szCs w:val="17"/>
                <w:color w:val="auto"/>
              </w:rPr>
            </w:pPr>
          </w:p>
        </w:tc>
        <w:tc>
          <w:tcPr>
            <w:tcW w:w="398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412"/>
        </w:trPr>
        <w:tc>
          <w:tcPr>
            <w:tcW w:w="1700" w:type="dxa"/>
            <w:vAlign w:val="bottom"/>
            <w:tcBorders>
              <w:bottom w:val="single" w:sz="8" w:color="0000EE"/>
            </w:tcBorders>
            <w:gridSpan w:val="3"/>
          </w:tcPr>
          <w:p>
            <w:pPr>
              <w:spacing w:after="0"/>
              <w:rPr>
                <w:rFonts w:ascii="Arial" w:cs="Arial" w:eastAsia="Arial" w:hAnsi="Arial"/>
                <w:sz w:val="18"/>
                <w:szCs w:val="18"/>
                <w:b w:val="1"/>
                <w:bCs w:val="1"/>
                <w:color w:val="0000EE"/>
                <w:w w:val="91"/>
              </w:rPr>
            </w:pPr>
            <w:hyperlink w:anchor="page33">
              <w:r>
                <w:rPr>
                  <w:rFonts w:ascii="Arial" w:cs="Arial" w:eastAsia="Arial" w:hAnsi="Arial"/>
                  <w:sz w:val="18"/>
                  <w:szCs w:val="18"/>
                  <w:b w:val="1"/>
                  <w:bCs w:val="1"/>
                  <w:color w:val="0000EE"/>
                  <w:w w:val="91"/>
                </w:rPr>
                <w:t>Item 1A. Risk Factors</w:t>
              </w:r>
            </w:hyperlink>
          </w:p>
        </w:tc>
        <w:tc>
          <w:tcPr>
            <w:tcW w:w="8820" w:type="dxa"/>
            <w:vAlign w:val="bottom"/>
            <w:gridSpan w:val="1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51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I</w:t>
              </w:r>
              <w:r>
                <w:rPr>
                  <w:rFonts w:ascii="Arial" w:cs="Arial" w:eastAsia="Arial" w:hAnsi="Arial"/>
                  <w:sz w:val="18"/>
                  <w:szCs w:val="18"/>
                  <w:b w:val="1"/>
                  <w:bCs w:val="1"/>
                  <w:color w:val="0000EE"/>
                  <w:w w:val="88"/>
                </w:rPr>
                <w:t>tem 2. Unregistered Sales of Equity Securities and Use of Proceeds</w:t>
              </w:r>
            </w:hyperlink>
          </w:p>
        </w:tc>
        <w:tc>
          <w:tcPr>
            <w:tcW w:w="53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2"/>
        </w:trPr>
        <w:tc>
          <w:tcPr>
            <w:tcW w:w="1240" w:type="dxa"/>
            <w:vAlign w:val="bottom"/>
            <w:tcBorders>
              <w:bottom w:val="single" w:sz="8" w:color="0000EE"/>
            </w:tcBorders>
            <w:gridSpan w:val="2"/>
          </w:tcPr>
          <w:p>
            <w:pPr>
              <w:spacing w:after="0"/>
              <w:rPr>
                <w:rFonts w:ascii="Arial" w:cs="Arial" w:eastAsia="Arial" w:hAnsi="Arial"/>
                <w:sz w:val="18"/>
                <w:szCs w:val="18"/>
                <w:b w:val="1"/>
                <w:bCs w:val="1"/>
                <w:color w:val="0000EE"/>
                <w:w w:val="92"/>
              </w:rPr>
            </w:pPr>
            <w:hyperlink w:anchor="page82">
              <w:r>
                <w:rPr>
                  <w:rFonts w:ascii="Arial" w:cs="Arial" w:eastAsia="Arial" w:hAnsi="Arial"/>
                  <w:sz w:val="18"/>
                  <w:szCs w:val="18"/>
                  <w:b w:val="1"/>
                  <w:bCs w:val="1"/>
                  <w:color w:val="0000EE"/>
                  <w:w w:val="92"/>
                </w:rPr>
                <w:t>Item 6. Exhibits</w:t>
              </w:r>
            </w:hyperlink>
          </w:p>
        </w:tc>
        <w:tc>
          <w:tcPr>
            <w:tcW w:w="9280" w:type="dxa"/>
            <w:vAlign w:val="bottom"/>
            <w:gridSpan w:val="1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12"/>
        </w:trPr>
        <w:tc>
          <w:tcPr>
            <w:tcW w:w="10520" w:type="dxa"/>
            <w:vAlign w:val="bottom"/>
            <w:gridSpan w:val="18"/>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Signatures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669"/>
        </w:trPr>
        <w:tc>
          <w:tcPr>
            <w:tcW w:w="820" w:type="dxa"/>
            <w:vAlign w:val="bottom"/>
            <w:tcBorders>
              <w:top w:val="single" w:sz="8" w:color="0000EE"/>
            </w:tcBorders>
          </w:tcPr>
          <w:p>
            <w:pPr>
              <w:spacing w:after="0"/>
              <w:rPr>
                <w:sz w:val="24"/>
                <w:szCs w:val="24"/>
                <w:color w:val="auto"/>
              </w:rPr>
            </w:pPr>
          </w:p>
        </w:tc>
        <w:tc>
          <w:tcPr>
            <w:tcW w:w="5320" w:type="dxa"/>
            <w:vAlign w:val="bottom"/>
            <w:gridSpan w:val="11"/>
          </w:tcPr>
          <w:p>
            <w:pPr>
              <w:jc w:val="right"/>
              <w:ind w:right="4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INTELLIA THERAPEUTICS, INC.</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ind w:left="52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129,879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160,020</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399,140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437,351</w:t>
            </w: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17,016</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549,404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616,517</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Marketable securities - noncurrent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15,943</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77,070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39,114</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4,748</w:t>
            </w:r>
          </w:p>
        </w:tc>
        <w:tc>
          <w:tcPr>
            <w:tcW w:w="12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672,243</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676,322</w:t>
            </w:r>
          </w:p>
        </w:tc>
        <w:tc>
          <w:tcPr>
            <w:tcW w:w="12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10,460</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37,150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25,554</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liability</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5,696</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deferred revenue</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22,544</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64,254</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51,387</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liability</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33,609</w:t>
            </w:r>
          </w:p>
        </w:tc>
        <w:tc>
          <w:tcPr>
            <w:tcW w:w="12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60" w:type="dxa"/>
            <w:vAlign w:val="bottom"/>
          </w:tcPr>
          <w:p>
            <w:pPr>
              <w:spacing w:after="0"/>
              <w:rPr>
                <w:sz w:val="20"/>
                <w:szCs w:val="20"/>
                <w:color w:val="auto"/>
              </w:rPr>
            </w:pPr>
            <w:r>
              <w:rPr>
                <w:rFonts w:ascii="Arial" w:cs="Arial" w:eastAsia="Arial" w:hAnsi="Arial"/>
                <w:sz w:val="18"/>
                <w:szCs w:val="18"/>
                <w:color w:val="auto"/>
              </w:rPr>
              <w:t>Common stock, $0.0001 par value; 120,000,000 shares authorized;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tcPr>
          <w:p>
            <w:pPr>
              <w:ind w:left="100"/>
              <w:spacing w:after="0"/>
              <w:rPr>
                <w:sz w:val="20"/>
                <w:szCs w:val="20"/>
                <w:color w:val="auto"/>
              </w:rPr>
            </w:pPr>
            <w:r>
              <w:rPr>
                <w:rFonts w:ascii="Arial" w:cs="Arial" w:eastAsia="Arial" w:hAnsi="Arial"/>
                <w:sz w:val="18"/>
                <w:szCs w:val="18"/>
                <w:color w:val="auto"/>
              </w:rPr>
              <w:t>68,331,780 and 66,234,056 shares issued and outstanding at</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60" w:type="dxa"/>
            <w:vAlign w:val="bottom"/>
          </w:tcPr>
          <w:p>
            <w:pPr>
              <w:ind w:left="100"/>
              <w:spacing w:after="0"/>
              <w:rPr>
                <w:sz w:val="20"/>
                <w:szCs w:val="20"/>
                <w:color w:val="auto"/>
              </w:rPr>
            </w:pPr>
            <w:r>
              <w:rPr>
                <w:rFonts w:ascii="Arial" w:cs="Arial" w:eastAsia="Arial" w:hAnsi="Arial"/>
                <w:sz w:val="18"/>
                <w:szCs w:val="18"/>
                <w:color w:val="auto"/>
              </w:rPr>
              <w:t>June 30, 2021 and December 31, 2020, respectively</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1,044,939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962,173</w:t>
            </w:r>
          </w:p>
        </w:tc>
        <w:tc>
          <w:tcPr>
            <w:tcW w:w="12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3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(550,120)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(435,109)</w:t>
            </w: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494,813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527,072</w:t>
            </w:r>
          </w:p>
        </w:tc>
        <w:tc>
          <w:tcPr>
            <w:tcW w:w="12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672,243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676,322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INTELLIA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58,884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98,160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128,437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Operating loss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(69,017)</w:t>
            </w: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(33,034)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(115,442)</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(66,082)</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7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(68,806)</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(115,011)</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7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basic and</w:t>
            </w: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1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diluted</w:t>
            </w:r>
          </w:p>
        </w:tc>
        <w:tc>
          <w:tcPr>
            <w:tcW w:w="7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68,164</w:t>
            </w:r>
          </w:p>
        </w:tc>
        <w:tc>
          <w:tcPr>
            <w:tcW w:w="2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53,369</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67,675</w:t>
            </w:r>
          </w:p>
        </w:tc>
        <w:tc>
          <w:tcPr>
            <w:tcW w:w="2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51,938</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Unrealized loss on marketable securities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(68,807)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(115,025)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INTELLIA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9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(115,011)</w:t>
            </w:r>
          </w:p>
        </w:tc>
        <w:tc>
          <w:tcPr>
            <w:tcW w:w="114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(64,199)</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Equity-based compensation</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60"/>
              <w:spacing w:after="0"/>
              <w:rPr>
                <w:sz w:val="20"/>
                <w:szCs w:val="20"/>
                <w:color w:val="auto"/>
              </w:rPr>
            </w:pPr>
            <w:r>
              <w:rPr>
                <w:rFonts w:ascii="Arial" w:cs="Arial" w:eastAsia="Arial" w:hAnsi="Arial"/>
                <w:sz w:val="16"/>
                <w:szCs w:val="16"/>
                <w:color w:val="auto"/>
              </w:rPr>
              <w:t>Amortization/(accretion) of investment premiums/(discounts)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(8,703)</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Operating right-of-use assets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0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0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(2,606)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(3,899)</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10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(11,179)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71,869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liabilities</w:t>
            </w:r>
          </w:p>
        </w:tc>
        <w:tc>
          <w:tcPr>
            <w:tcW w:w="10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(5,050)</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w w:val="93"/>
              </w:rPr>
              <w:t>(105,357)</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18,872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(5,350)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Purchases of marketable securities</w:t>
            </w:r>
          </w:p>
        </w:tc>
        <w:tc>
          <w:tcPr>
            <w:tcW w:w="10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3"/>
              </w:rPr>
              <w:t>(185,431)</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(31,208)</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Maturities of marketable securities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198,499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183,500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shd w:val="clear" w:color="auto" w:fill="CFF0FC"/>
          </w:tcPr>
          <w:p>
            <w:pPr>
              <w:ind w:left="260"/>
              <w:spacing w:after="0"/>
              <w:rPr>
                <w:sz w:val="20"/>
                <w:szCs w:val="20"/>
                <w:color w:val="auto"/>
              </w:rPr>
            </w:pPr>
            <w:r>
              <w:rPr>
                <w:rFonts w:ascii="Arial" w:cs="Arial" w:eastAsia="Arial" w:hAnsi="Arial"/>
                <w:sz w:val="16"/>
                <w:szCs w:val="16"/>
                <w:b w:val="1"/>
                <w:bCs w:val="1"/>
                <w:color w:val="auto"/>
              </w:rPr>
              <w:t>Net cash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150,411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through follow-on offerings,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of issuance costs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107,732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00" w:type="dxa"/>
            <w:vAlign w:val="bottom"/>
          </w:tcPr>
          <w:p>
            <w:pPr>
              <w:spacing w:after="0"/>
              <w:rPr>
                <w:sz w:val="20"/>
                <w:szCs w:val="20"/>
                <w:color w:val="auto"/>
              </w:rPr>
            </w:pPr>
            <w:r>
              <w:rPr>
                <w:rFonts w:ascii="Arial" w:cs="Arial" w:eastAsia="Arial" w:hAnsi="Arial"/>
                <w:sz w:val="16"/>
                <w:szCs w:val="16"/>
                <w:color w:val="auto"/>
              </w:rPr>
              <w:t>Proceeds from issuance of common stock through at-the-market offerings,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0" w:type="dxa"/>
            <w:vAlign w:val="bottom"/>
          </w:tcPr>
          <w:p>
            <w:pPr>
              <w:ind w:left="120"/>
              <w:spacing w:after="0"/>
              <w:rPr>
                <w:sz w:val="20"/>
                <w:szCs w:val="20"/>
                <w:color w:val="auto"/>
              </w:rPr>
            </w:pPr>
            <w:r>
              <w:rPr>
                <w:rFonts w:ascii="Arial" w:cs="Arial" w:eastAsia="Arial" w:hAnsi="Arial"/>
                <w:sz w:val="16"/>
                <w:szCs w:val="16"/>
                <w:color w:val="auto"/>
              </w:rPr>
              <w:t>net of issuance costs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45,255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common stock to Regeneron</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Proceeds from options exercised</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19,503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Issuance of shares through employee stock purchase plan</w:t>
            </w: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b w:val="1"/>
                <w:bCs w:val="1"/>
                <w:color w:val="auto"/>
              </w:rPr>
              <w:t>Net cash provided by financing activities</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65,728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137,089</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increase in cash and cash equivalents and restricted cash and cash</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equivalents</w:t>
            </w:r>
          </w:p>
        </w:tc>
        <w:tc>
          <w:tcPr>
            <w:tcW w:w="10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(31,911)</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306,372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00" w:type="dxa"/>
            <w:vAlign w:val="bottom"/>
          </w:tcPr>
          <w:p>
            <w:pPr>
              <w:spacing w:after="0"/>
              <w:rPr>
                <w:sz w:val="20"/>
                <w:szCs w:val="20"/>
                <w:color w:val="auto"/>
              </w:rPr>
            </w:pPr>
            <w:r>
              <w:rPr>
                <w:rFonts w:ascii="Arial" w:cs="Arial" w:eastAsia="Arial" w:hAnsi="Arial"/>
                <w:sz w:val="16"/>
                <w:szCs w:val="16"/>
                <w:color w:val="auto"/>
              </w:rPr>
              <w:t>Cash and cash equivalents and restricted cash and cash equivalents, beginning of</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period</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164,606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57,226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restricted cash and cash equivalents, end of period</w:t>
            </w:r>
          </w:p>
        </w:tc>
        <w:tc>
          <w:tcPr>
            <w:tcW w:w="1000" w:type="dxa"/>
            <w:vAlign w:val="bottom"/>
            <w:shd w:val="clear" w:color="auto" w:fill="CFF0FC"/>
          </w:tcPr>
          <w:p>
            <w:pPr>
              <w:jc w:val="right"/>
              <w:ind w:right="8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132,695</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9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363,598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Reconciliation of cash and cash equivalents and restricted cash and cash</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equivalents to condensed consolidated balance sheet:</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129,879</w:t>
            </w:r>
          </w:p>
        </w:tc>
        <w:tc>
          <w:tcPr>
            <w:tcW w:w="160" w:type="dxa"/>
            <w:vAlign w:val="bottom"/>
          </w:tcPr>
          <w:p>
            <w:pPr>
              <w:spacing w:after="0"/>
              <w:rPr>
                <w:sz w:val="18"/>
                <w:szCs w:val="18"/>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361,687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 and cash equivalents, included in prepaids and other current assets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and other assets</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600" w:type="dxa"/>
            <w:vAlign w:val="bottom"/>
          </w:tcPr>
          <w:p>
            <w:pPr>
              <w:spacing w:after="0"/>
              <w:rPr>
                <w:sz w:val="20"/>
                <w:szCs w:val="20"/>
                <w:color w:val="auto"/>
              </w:rPr>
            </w:pPr>
            <w:r>
              <w:rPr>
                <w:rFonts w:ascii="Arial" w:cs="Arial" w:eastAsia="Arial" w:hAnsi="Arial"/>
                <w:sz w:val="16"/>
                <w:szCs w:val="16"/>
                <w:color w:val="auto"/>
              </w:rPr>
              <w:t>Total cash and cash equivalents and restricted cash and cash equivalents</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132,695</w:t>
            </w:r>
          </w:p>
        </w:tc>
        <w:tc>
          <w:tcPr>
            <w:tcW w:w="160" w:type="dxa"/>
            <w:vAlign w:val="bottom"/>
          </w:tcPr>
          <w:p>
            <w:pPr>
              <w:spacing w:after="0"/>
              <w:rPr>
                <w:sz w:val="21"/>
                <w:szCs w:val="21"/>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363,598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60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 unpaid at period end</w:t>
            </w:r>
          </w:p>
        </w:tc>
        <w:tc>
          <w:tcPr>
            <w:tcW w:w="1000" w:type="dxa"/>
            <w:vAlign w:val="bottom"/>
            <w:shd w:val="clear" w:color="auto" w:fill="CFF0FC"/>
          </w:tcPr>
          <w:p>
            <w:pPr>
              <w:jc w:val="right"/>
              <w:ind w:right="8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1,969</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9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spacing w:after="0"/>
              <w:rPr>
                <w:sz w:val="20"/>
                <w:szCs w:val="20"/>
                <w:color w:val="auto"/>
              </w:rPr>
            </w:pPr>
            <w:r>
              <w:rPr>
                <w:rFonts w:ascii="Arial" w:cs="Arial" w:eastAsia="Arial" w:hAnsi="Arial"/>
                <w:sz w:val="16"/>
                <w:szCs w:val="16"/>
                <w:color w:val="auto"/>
              </w:rPr>
              <w:t>Right-of-use assets acquired under operating leases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41,974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Offering costs unpaid at period end</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INTELLIA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Basis of Presentation</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Intellia Therapeutics, Inc. (“Intellia” or the “Company”) is a leading clinical-stage genome editing company, focused on developing novel, potentially curative therapeutics using CRISPR/Cas9 technology. CRISPR/Cas9, an acronym for </w:t>
      </w:r>
      <w:r>
        <w:rPr>
          <w:rFonts w:ascii="Arial" w:cs="Arial" w:eastAsia="Arial" w:hAnsi="Arial"/>
          <w:sz w:val="16"/>
          <w:szCs w:val="16"/>
          <w:u w:val="single" w:color="auto"/>
          <w:color w:val="auto"/>
        </w:rPr>
        <w:t>C</w:t>
      </w:r>
      <w:r>
        <w:rPr>
          <w:rFonts w:ascii="Arial" w:cs="Arial" w:eastAsia="Arial" w:hAnsi="Arial"/>
          <w:sz w:val="16"/>
          <w:szCs w:val="16"/>
          <w:color w:val="auto"/>
          <w:highlight w:val="white"/>
        </w:rPr>
        <w:t>lustered, Regularly</w:t>
      </w:r>
      <w:r>
        <w:rPr>
          <w:rFonts w:ascii="Arial" w:cs="Arial" w:eastAsia="Arial" w:hAnsi="Arial"/>
          <w:sz w:val="16"/>
          <w:szCs w:val="16"/>
          <w:color w:val="auto"/>
        </w:rPr>
        <w:t xml:space="preserve"> </w:t>
      </w:r>
      <w:r>
        <w:rPr>
          <w:rFonts w:ascii="Arial" w:cs="Arial" w:eastAsia="Arial" w:hAnsi="Arial"/>
          <w:sz w:val="16"/>
          <w:szCs w:val="16"/>
          <w:u w:val="single" w:color="auto"/>
          <w:color w:val="auto"/>
          <w:highlight w:val="white"/>
        </w:rPr>
        <w:t>I</w:t>
      </w:r>
      <w:r>
        <w:rPr>
          <w:rFonts w:ascii="Arial" w:cs="Arial" w:eastAsia="Arial" w:hAnsi="Arial"/>
          <w:sz w:val="16"/>
          <w:szCs w:val="16"/>
          <w:color w:val="auto"/>
          <w:highlight w:val="white"/>
        </w:rPr>
        <w:t>nterspaced Short Palindromic Repeats</w:t>
      </w:r>
      <w:r>
        <w:rPr>
          <w:rFonts w:ascii="Arial" w:cs="Arial" w:eastAsia="Arial" w:hAnsi="Arial"/>
          <w:sz w:val="16"/>
          <w:szCs w:val="16"/>
          <w:color w:val="auto"/>
        </w:rPr>
        <w:t xml:space="preserve"> (“CRISPR”)/CRISPR associated 9 (“Cas9”), is a technology for genome editing, the process of altering selected sequences of genomic deoxyribonucleic acid (“DNA”). To fully realize the transformative potential of CRISPR/Cas9, the Company is pursuing two primary approaches. The Company’s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programs use intravenously administered CRISPR as the therapy, in which its proprietary delivery technology enables highly precise editing of disease-causing genes directly within specific target tissues. The Company’s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programs use CRISPR to create the therapy by using engineered human cells to treat cancer and autoimmune diseases. The Company’s deep scientific, technical and clinical development experience, along with its robust intellectual property (“IP”) portfolio, enables the Company to unlock broad therapeutic applications of CRISPR/Cas9 to create new classes of genetic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-871220</wp:posOffset>
            </wp:positionV>
            <wp:extent cx="749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825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-871220</wp:posOffset>
            </wp:positionV>
            <wp:extent cx="61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95" cy="825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-871220</wp:posOffset>
            </wp:positionV>
            <wp:extent cx="59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6772910</wp:posOffset>
            </wp:positionH>
            <wp:positionV relativeFrom="paragraph">
              <wp:posOffset>-871220</wp:posOffset>
            </wp:positionV>
            <wp:extent cx="73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 cy="8255"/>
                    </a:xfrm>
                    <a:prstGeom prst="rect">
                      <a:avLst/>
                    </a:prstGeom>
                    <a:noFill/>
                  </pic:spPr>
                </pic:pic>
              </a:graphicData>
            </a:graphic>
          </wp:anchor>
        </w:drawing>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condensed consolidated financial statements of the Company included herein have been prepared, without audit, pursuant to the rules and regulations of the Securities and Exchange Commission (“SEC”). Certain information and footnote disclosures normally included in annual financial statements prepared in accordance with accounting principles generally accepted in the United States of America (“U.S. GAAP”) have been condensed or omitted from this report, as is permitted by such rules and regulations. Accordingly, these condensed consolidated financial statements should be read in conjunction with the financial statements and notes thereto included in the Company’s Annual Report on Form 10-K (“Annual Report”) for the year ended December 31, 2020.</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Intellia Therapeutics, Inc. and its wholly owned, controlled subsidiary, Intellia Securities Corp. All intercompany balances and transactions have been eliminated in consolidation. Comprehensive loss is comprised of net loss and unrealized gain/loss on marketable securities.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judgments and assumptions that affect the amounts reported in the financial statements and accompanying notes. Significant estimates in these condensed consolidated financial statements have been made in connection with the calculation of revenues, research and development expenses and equity-based compensation expense. The Company bases its estimates on historical experience and various other assumptions that management believes to be reasonable under the circumstances at the time such estimates are made. Actual results could differ from those estimates. The Company periodically reviews its estimates in light of changes in circumstances, facts and experience. The extent of the impact of the coronavirus disease 19 (“COVID-19”) pandemic on the Company’s operational and financial performance will depend on certain developments, including the length and severity of this pandemic, as well as its effect on the Company’s employees, collaborators and vendors, all of which are uncertain and cannot be predicted. The Company cannot reasonably estimate the extent to which the disruption may materially impact its consolidated results of operations or financial position.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material revisions in estimates are reflected in the condensed consolidated financial statements prospectively from the date of the change in estimate.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opinion of management, the information furnished reflects all adjustments, all of which are of a normal and recurring nature, necessary for a fair presentation of the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Since its inception through June 30, 2021, the Company has raised an aggregate of approximately $1,166.1 million to fund its operations, of which $275.9 million was through its collaboration agreements, $170.5 million was from its initial public offering (“IPO”) and concurrent private placements, $438.3 million was from follow-on public offerings, $196.5 million was from at-the-market offerings and $85.0 million was from the sale of convertible preferred stock. In July 2021, the Company closed an underwritten public offering of 4,758,620 shares of common stock at the public offering price of $145.00 per share, for aggregate estimated net proceeds of $648.1 million after deducting approximately $41.9 million in underwriting discounts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spacing w:after="0" w:line="311" w:lineRule="auto"/>
        <w:rPr>
          <w:sz w:val="20"/>
          <w:szCs w:val="20"/>
          <w:color w:val="auto"/>
        </w:rPr>
      </w:pPr>
      <w:r>
        <w:rPr>
          <w:rFonts w:ascii="Arial" w:cs="Arial" w:eastAsia="Arial" w:hAnsi="Arial"/>
          <w:sz w:val="16"/>
          <w:szCs w:val="16"/>
          <w:color w:val="auto"/>
        </w:rPr>
        <w:t>and estimated offering costs (see Note 13 for further details). The Company expects that its cash, cash equivalents and marketable securities as of June 30, 2021, along with the proceeds from the July 2021 public offering of common stock, will enable the Company to fund its ongoing operating expenses and capital expenditure requirements for at least the twelve-month period following the issuance of these condensed consolidated financial statements.</w:t>
      </w:r>
    </w:p>
    <w:p>
      <w:pPr>
        <w:spacing w:after="0" w:line="145"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to the consolidated financial statements included in the Annual Report for the year ended December 31, 2020. There have been no material changes during the six months ended June 30, 2021, other than as noted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 – Adopted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2019-12, </w:t>
      </w:r>
      <w:r>
        <w:rPr>
          <w:rFonts w:ascii="Arial" w:cs="Arial" w:eastAsia="Arial" w:hAnsi="Arial"/>
          <w:sz w:val="18"/>
          <w:szCs w:val="18"/>
          <w:i w:val="1"/>
          <w:iCs w:val="1"/>
          <w:color w:val="auto"/>
        </w:rPr>
        <w:t>Income Taxes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740): Simplifying the Accounting for Income Taxes </w:t>
      </w:r>
      <w:r>
        <w:rPr>
          <w:rFonts w:ascii="Arial" w:cs="Arial" w:eastAsia="Arial" w:hAnsi="Arial"/>
          <w:sz w:val="18"/>
          <w:szCs w:val="18"/>
          <w:color w:val="auto"/>
        </w:rPr>
        <w:t>(“ASU 2019-12”), which is intended to simplify the accounting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removes certain exceptions to the general principles in Topic 740 and also clarifies and amends existing guidance to improve consistent application. The Company adopted ASU 2019-12 on January 1, 2021. The adoption did not have a material effect on the Company’s condensed consolidated financial statements.</w:t>
      </w:r>
    </w:p>
    <w:p>
      <w:pPr>
        <w:spacing w:after="0" w:line="184"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available-for-sale marketable securities as of June 30, 2021 and December 31, 2020 at net book value: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2021</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Amortized</w:t>
            </w:r>
          </w:p>
        </w:tc>
        <w:tc>
          <w:tcPr>
            <w:tcW w:w="138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3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Gains</w:t>
            </w:r>
          </w:p>
        </w:tc>
        <w:tc>
          <w:tcPr>
            <w:tcW w:w="820" w:type="dxa"/>
            <w:vAlign w:val="bottom"/>
          </w:tcPr>
          <w:p>
            <w:pPr>
              <w:jc w:val="center"/>
              <w:ind w:left="227"/>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U.S. Treasury and other government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163,832</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163,852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Financial institution debt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182,076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42,191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asset-backed securities</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421,414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Amortized</w:t>
            </w:r>
          </w:p>
        </w:tc>
        <w:tc>
          <w:tcPr>
            <w:tcW w:w="138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3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Gains</w:t>
            </w:r>
          </w:p>
        </w:tc>
        <w:tc>
          <w:tcPr>
            <w:tcW w:w="820" w:type="dxa"/>
            <w:vAlign w:val="bottom"/>
          </w:tcPr>
          <w:p>
            <w:pPr>
              <w:jc w:val="center"/>
              <w:ind w:left="227"/>
              <w:spacing w:after="0"/>
              <w:rPr>
                <w:sz w:val="20"/>
                <w:szCs w:val="20"/>
                <w:color w:val="auto"/>
              </w:rPr>
            </w:pPr>
            <w:r>
              <w:rPr>
                <w:rFonts w:ascii="Arial" w:cs="Arial" w:eastAsia="Arial" w:hAnsi="Arial"/>
                <w:sz w:val="14"/>
                <w:szCs w:val="14"/>
                <w:b w:val="1"/>
                <w:bCs w:val="1"/>
                <w:color w:val="auto"/>
                <w:w w:val="82"/>
              </w:rPr>
              <w:t>Losses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U.S. Treasury and other government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245,666</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245,668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Financial institution debt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138,445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asset-backed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4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437,350</w:t>
            </w:r>
          </w:p>
        </w:tc>
        <w:tc>
          <w:tcPr>
            <w:tcW w:w="24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820" w:type="dxa"/>
            <w:vAlign w:val="bottom"/>
          </w:tcPr>
          <w:p>
            <w:pPr>
              <w:jc w:val="right"/>
              <w:ind w:right="66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437,351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amortized cost of available-for-sale securities is adjusted for amortization of premiums and accretion of discounts to maturity. At June 30, 2021 and December 31, 2020, the balance in the Company’s accumulated other comprehensive (loss) income was composed of activity related to the Company’s available-for-sale marketable securities. There were no realized gains or losses in the six months ended June 30, 2021 or for the year ended December 31, 2020. The Company did not reclassify any amounts out of accumulated other comprehensive (loss) income during this period. The Company did not have any securities in a material unrealized loss position at June 30, 2021 or December 31, 2020.</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available-for-sale securities that are classified as short-term marketable securities in the condensed consolidated balance sheet mature within one year or less as of the balance sheet date. Available-for-sale securities that are classified as noncurrent in the condensed consolidated balance sheet are those that mature after one year but within five years from the balance sheet date and that the Company does not intend to dispose of within the next twelve months. At June 30,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2021 and December 31, 2020, the Company did not hold any investments that matured beyond five years of the balance sheet date.</w:t>
      </w:r>
    </w:p>
    <w:p>
      <w:pPr>
        <w:spacing w:after="0" w:line="221"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classifies fair value-based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 Level 1, quoted market prices (unadjusted) in active markets for identical assets or liabilities; Level 2, observable inputs other than quoted market prices included in Level 1, such as quoted market prices for markets that are not active or other inputs that are observable or can be corroborated by observable market data; and Level 3, 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and December 31, 2020, the Company’s financial assets recognized at fair value on a recurring basis consisted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Fair Value as of June 30, 2021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3"/>
          </w:tcPr>
          <w:p>
            <w:pPr>
              <w:jc w:val="center"/>
              <w:ind w:left="57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restricted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and other government securities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163,852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140,494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Financial institution debt securities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182,041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182,041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42,193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asset-backed securities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33,316</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421,402</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140,494</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280,908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551,407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270,499</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280,908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Fair Value as of December 31, 2020</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8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3"/>
          </w:tcPr>
          <w:p>
            <w:pPr>
              <w:jc w:val="center"/>
              <w:ind w:left="57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 and restricted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163,805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163,805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and other government securities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245,668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241,664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Financial institution debt securities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138,443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138,443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asset-backed securities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437,351</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241,664</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195,687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601,156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405,469</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195,687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the Company’s financial assets, including cash equivalents, restricted cash equivalents and marketable securities, have been initially valued at the transaction price, and subsequently revalued at the end of each reporting period, utilizing third-party pricing services or other observable market data. The pricing services utilize industry standard valuation models and observable market inputs to determine value. After completing its validation procedures, the Company did not adjust or override any fair value measurements provided by the pricing services as of June 30, 2021 or December 31, 2020.</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financial instruments, including accounts receivable, accounts payable and accrued expense, are carried at cost, which approximates fair value due to the short duration and term to maturity.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Accrued Expenses</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72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4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18,399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Employee compensation and benefits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10,039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legal and professional expenses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Accrued other</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37,150</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73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Commitments and Contingencies</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40" w:type="dxa"/>
            <w:vAlign w:val="bottom"/>
            <w:vMerge w:val="continue"/>
          </w:tcPr>
          <w:p>
            <w:pPr>
              <w:spacing w:after="0"/>
              <w:rPr>
                <w:sz w:val="24"/>
                <w:szCs w:val="24"/>
                <w:color w:val="auto"/>
              </w:rPr>
            </w:pPr>
          </w:p>
        </w:tc>
        <w:tc>
          <w:tcPr>
            <w:tcW w:w="73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Litigation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 xml:space="preserve">There have been </w:t>
      </w:r>
      <w:r>
        <w:rPr>
          <w:rFonts w:ascii="Arial" w:cs="Arial" w:eastAsia="Arial" w:hAnsi="Arial"/>
          <w:sz w:val="18"/>
          <w:szCs w:val="18"/>
          <w:color w:val="000000"/>
        </w:rPr>
        <w:t>no material changes to any of the outstanding litigation, nor is the Company a party to any new litigation, since December 31, 2020,</w:t>
      </w:r>
      <w:r>
        <w:rPr>
          <w:rFonts w:ascii="Arial" w:cs="Arial" w:eastAsia="Arial" w:hAnsi="Arial"/>
          <w:sz w:val="18"/>
          <w:szCs w:val="18"/>
          <w:color w:val="212529"/>
        </w:rPr>
        <w:t xml:space="preserve"> </w:t>
      </w:r>
      <w:r>
        <w:rPr>
          <w:rFonts w:ascii="Arial" w:cs="Arial" w:eastAsia="Arial" w:hAnsi="Arial"/>
          <w:sz w:val="18"/>
          <w:szCs w:val="18"/>
          <w:color w:val="000000"/>
        </w:rPr>
        <w:t>except as described b</w:t>
      </w:r>
      <w:r>
        <w:rPr>
          <w:rFonts w:ascii="Arial" w:cs="Arial" w:eastAsia="Arial" w:hAnsi="Arial"/>
          <w:sz w:val="18"/>
          <w:szCs w:val="18"/>
          <w:color w:val="212529"/>
        </w:rPr>
        <w:t>elow. For further information please see the notes to the consolidated financial statements included in the Company’s Annual Report</w:t>
      </w:r>
      <w:r>
        <w:rPr>
          <w:rFonts w:ascii="Arial" w:cs="Arial" w:eastAsia="Arial" w:hAnsi="Arial"/>
          <w:sz w:val="18"/>
          <w:szCs w:val="18"/>
          <w:color w:val="000000"/>
        </w:rPr>
        <w:t xml:space="preserve"> </w:t>
      </w:r>
      <w:r>
        <w:rPr>
          <w:rFonts w:ascii="Arial" w:cs="Arial" w:eastAsia="Arial" w:hAnsi="Arial"/>
          <w:sz w:val="18"/>
          <w:szCs w:val="18"/>
          <w:color w:val="212529"/>
        </w:rPr>
        <w:t>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Caribou Arbitration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17, 2018, the Company initiated an arbitration proceeding against Caribou Biosciences, Inc. (“Caribou”) asserting that Caribou violated the terms and conditions of a license agreement the Company entered into with them in July 2014 related to certain IP (the “Caribou License”), as well as other contractual and legal obligations to the Company, by using and seeking to license to third parties two patent families relating to specific structural or chemical modifications of guide RNAs (“gRNAs”), that were purportedly invented or controlled by Caribou, in the Company’s exclusive human therapeutic field, before an agreed-upon cutoff date of January 30, 2018.</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26, 2019, the Company announced that the arbitration panel issued an interim award concluding that both the structural and chemical gRNA modification technologies were exclusively licensed to the Company by Caribou pursuant to the Caribou License. Nevertheless, the arbitration panel, solely with respect to the clinically modified gRNAs, stated that it will declare that Caribou has an equitable “leaseback”, which it described as exclusive, perpetual and worldwide (the “Caribou Award”). The Caribou Award does not include the structural guide modifications IP also at issue in the arbitration, any other IP exclusively licensed or sublicensed by Caribou to the Company under the Caribou License (including but not limited to the foundational CRISPR/Cas9 IP co-owned by the Regents of the University of California, University of Vienna and Dr. Emmanuelle Charpentier), or any other of the Company’s IP. On February 6, 2020, the panel clarified that the Caribou Award is limited to a particular on-going Caribou program, known as CB-010, which seeks to develop a chimeric antigen receptor T (“CAR-T”) product directed at CD19.</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On June 16, 2021, the Company executed a Leaseback Agreement (“Leaseback”) with Caribou, which settles the ongoing arbitration. Under the Leaseback negotiated by the parties, in exchange for an upfront payment, potential future regulatory and sales milestones, and single-digit royalties payable by Caribou, the Company has agreed to leaseback or sublicense certain CRISPR/Cas9 IP, including the Company’s chemical gRNA modification technology and foundational CRISPR/Cas9 IP, to Caribou so that it can develop and commercialize CB-010. Caribou also will be responsible for any payments required in respect of the Company’s in-licensed IP. The Company recorded $1.0 million within “Collaboration Revenue” on the condensed consolidated statements of operations and comprehensive loss for an upfront payment related to the Leaseback.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party to license agreements, which include contingent payments. These payments will become payable if and when certain development, regulatory and commercial milestones are achieved. As of June 30, 2021, the satisfaction and timing of the contingent payments is uncertain and not reasonably estimable.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accelerate the development and commercialization of CRISPR/Cas9-based products in multiple therapeutic areas, the Company has formed, and intends to seek other opportunities to form, strategic alliances with collaborators who can augment its leadership in CRISPR/Cas9 therapeutic development. As of June 30, 2021, the Company’s accounts receivable is made up of $1.0 million for an upfront payment related to the Leaseback with Caribou (see Note 6) and $1.0 million related to the collaboration with Regeneron, and the Company’s contract liabilities were related to its collaboration with Regeneron.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changes in the Company’s accounts receivable and contract liabilities during the six months ended June 30, 2021 and 2020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Balance at End</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18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Deductions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of Period</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2021</w:t>
            </w: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2,130</w:t>
            </w:r>
          </w:p>
        </w:tc>
        <w:tc>
          <w:tcPr>
            <w:tcW w:w="24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3,079</w:t>
            </w:r>
          </w:p>
        </w:tc>
        <w:tc>
          <w:tcPr>
            <w:tcW w:w="240" w:type="dxa"/>
            <w:vAlign w:val="bottom"/>
          </w:tcPr>
          <w:p>
            <w:pPr>
              <w:spacing w:after="0"/>
              <w:rPr>
                <w:sz w:val="23"/>
                <w:szCs w:val="23"/>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liabilities - Deferred revenue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73,931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62,752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Balance at End</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Beginning of</w:t>
            </w:r>
          </w:p>
        </w:tc>
        <w:tc>
          <w:tcPr>
            <w:tcW w:w="18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Deductions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of Period</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2020</w:t>
            </w: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840" w:type="dxa"/>
            <w:vAlign w:val="bottom"/>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4,620</w:t>
            </w:r>
          </w:p>
        </w:tc>
        <w:tc>
          <w:tcPr>
            <w:tcW w:w="240" w:type="dxa"/>
            <w:vAlign w:val="bottom"/>
          </w:tcPr>
          <w:p>
            <w:pPr>
              <w:spacing w:after="0"/>
              <w:rPr>
                <w:sz w:val="23"/>
                <w:szCs w:val="23"/>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101,049</w:t>
            </w:r>
          </w:p>
        </w:tc>
        <w:tc>
          <w:tcPr>
            <w:tcW w:w="240" w:type="dxa"/>
            <w:vAlign w:val="bottom"/>
          </w:tcPr>
          <w:p>
            <w:pPr>
              <w:spacing w:after="0"/>
              <w:rPr>
                <w:sz w:val="23"/>
                <w:szCs w:val="23"/>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(101,805)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liabilities - Deferred revenue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87,477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100,679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2021 and 2020, the Company recognized the following revenues as a result of changes in the contract liability balance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44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20" w:type="dxa"/>
            <w:vAlign w:val="bottom"/>
            <w:tcBorders>
              <w:bottom w:val="single" w:sz="8" w:color="CFF0FC"/>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11,179</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and fulfill a contract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incur any expenses to obtain collaboration agreements and costs to fulfill those contracts do not generate or enhance resources of the Company. As such, no costs to obtain or fulfill a contract have been capitalized in any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 Pharmaceuticals,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2016, the Company entered into a license and collaboration agreement with Regeneron (the “2016 Regeneron Agreement”). The 2016 Regeneron Agreement has two principal components: (i) a product development component under which the parties will research, develop and commercialize CRISPR/Cas-based therapeutic products primarily focused on genome editing in the liver, and (ii) a technology collaboration component, pursuant to which the Company and Regeneron will engage in research-related activities aimed at discovering and developing novel technologies and improvements to CRISPR/Cas technology to enhance the Company’s genome editing platform. Under this agreement, the Company also may access the Regeneron Genetics Center and proprietary mouse models to be provided by Regeneron for a limited number of the Company’s liver programs. At the inception of the 2016 Regeneron Agreement, Regeneron selected the first of its 10 targets, transthyretin (“ATTR”) amyloidosis, which is subject to a co-development and co-promotion agreement between the Company and Regeneron (the “ATTR Co/Co”).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spacing w:after="0" w:line="254" w:lineRule="auto"/>
        <w:rPr>
          <w:sz w:val="20"/>
          <w:szCs w:val="20"/>
          <w:color w:val="auto"/>
        </w:rPr>
      </w:pPr>
      <w:r>
        <w:rPr>
          <w:rFonts w:ascii="Arial" w:cs="Arial" w:eastAsia="Arial" w:hAnsi="Arial"/>
          <w:sz w:val="18"/>
          <w:szCs w:val="18"/>
          <w:color w:val="auto"/>
        </w:rPr>
        <w:t xml:space="preserve">On May 30, 2020, the Company entered into (i) amendment no. 1 (the “2020 Regeneron Amendment”) to the 2016 Regeneron Agreement, (ii) co-development and co-funding agreements for the treatment of hemophilia A and hemophilia B (the “Hemophilia Co/Co”) agreements and (iii) a stock purchase agreement. The collaboration expansion builds upon the jointly developed targeted transgene insertion capabilities designed to durably restore a missing therapeutic protein, and to overcome the limitations of traditional gene therapy. The collaboration was extended until April 2024, at which point Regeneron has an option to renew for an additional two years. The 2020 Regeneron Amendment also grants Regeneron exclusive rights to develop products for five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CRISPR/Cas-based therapeutic liver targets and non-exclusive rights to independently develop and commercialize up to 10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edited products made using certain defined cell types.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December 31, 2020, there have been no material changes to the key terms of the 2016 Regeneron Agreement and the 2020 Regeneron Amendment (the “Amended Agreements”). For further information on the terms and conditions of these agreements, please see the notes to the consolidated financial statements included in the Company’s Annual Report for the year ended December 31, 2020.</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Revenue Recognition – Collaboration Revenue. </w:t>
      </w:r>
      <w:r>
        <w:rPr>
          <w:rFonts w:ascii="Arial" w:cs="Arial" w:eastAsia="Arial" w:hAnsi="Arial"/>
          <w:sz w:val="17"/>
          <w:szCs w:val="17"/>
          <w:color w:val="auto"/>
        </w:rPr>
        <w:t>Through June 30, 2021, excluding amounts allocated to Regeneron’s purchase of the Company’s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the Company recorded $145.0 million in upfront payments under the Amended Agreements and $35.6 million for research and development services, primarily under the ATTR Co/Co agreement. Through June 30, 2021, the Company has recognized $135.2 million of collaboration revenue under all arrangements, including $5.5 million and $12.0 million during the three and six months ended June 30, 2021, respectively, and $16.3 million and $24.2 million during the three and six months ended June 30, 2020, respectively, in the condensed consolidated statements of operations and comprehensive loss. This includes $1.0 million and $1.8 million during the three and six months ended June 30, 2021, respectively, and $3.8 million and $8.6 million during the three and six months ended June 30, 2020, respectively, primarily representing payments due from Regeneron pursuant to the ATTR Co/Co agreement. These revenues are offset in part by contra-revenue related to the Hemophilia Co/Co agreements amounting to $1.0 million during the three and six months ended June 30, 2021,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there was approximately $62.8 million of the aggregate transaction price of the Amended Agreements remaining to be recognized, which the Company expects to be recognized during the research term through April 2024.</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and December 31, 2020, the Company had accounts receivable of $1.0 million and $2.1 million, respectively, related to the Amended Agreements. The Company had deferred revenue of $62.8 million and $73.9 million as of June 30, 2021 and December 31, 2020, respectively, related to the Amended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Institutes for BioMedical Research, Inc.</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December 2014, the Company entered into a strategic collaboration agreement with Novartis Institutes for BioMedical Research, Inc. (“Novartis”) (the “2014 Novartis Agreement”), primarily focused on the research of new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CRISPR/Cas9-edited therapies using CAR-T cells and hematopoietic stem cells (“HSCs”). The agreement was amended in December 2018 (the “Novartis Amendment”) to also include research on ocular stem cells (“OSCs”). In December 2019, per the terms of the 2014 Novartis Agreement, the research term ended, although the 2014 Novartis Agreement remains in effect, for which the Company will be eligible to receive milestone and royalty payments in the future. In June 2021, the Company entered into Amendment No. 3 (the “Amendment”) to the 2014 Novartis Agreement. The Amendment amends Novartis’ rights with respect to all of the CAR-T Therapeutic Targets (as defined in the 2014 Novartis Agreement) that Novartis selected under the 2014 Novartis Agreement, including (a) making Novartis’ license non-exclusive for such CAR-T Therapeutic Targets, (b) removing Novartis’ diligence and related reporting obligations for such CAR-T Therapeutic Targets, and (c) refining the scope of Novartis’ sublicense rights for such CAR-T Therapeutic Targets. The Company made a one-time payment to Novartis of $10.0 million within 30 days after the effective date of the Amendment, which was recorded as research and development expense in the condensed consolidated statements of operations and comprehensive loss for the three and six months ended June 30, 2021. Since December 31, 2020, there have been no other material changes to the key terms of the 2014 Novartis Agreement and the Novartis Amendment. For further information on the terms and conditions of these agreements, please see the notes to the consolidated financial statements included in the Company’s Annual Report for the year ended December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spacing w:after="0" w:line="275" w:lineRule="auto"/>
        <w:rPr>
          <w:sz w:val="20"/>
          <w:szCs w:val="20"/>
          <w:color w:val="auto"/>
        </w:rPr>
      </w:pPr>
      <w:r>
        <w:rPr>
          <w:rFonts w:ascii="Arial" w:cs="Arial" w:eastAsia="Arial" w:hAnsi="Arial"/>
          <w:sz w:val="17"/>
          <w:szCs w:val="17"/>
          <w:i w:val="1"/>
          <w:iCs w:val="1"/>
          <w:color w:val="auto"/>
        </w:rPr>
        <w:t>Revenue Recognition – Milestone</w:t>
      </w:r>
      <w:r>
        <w:rPr>
          <w:rFonts w:ascii="Arial" w:cs="Arial" w:eastAsia="Arial" w:hAnsi="Arial"/>
          <w:sz w:val="17"/>
          <w:szCs w:val="17"/>
          <w:color w:val="auto"/>
        </w:rPr>
        <w:t>. In March 2020, the U.S. Food and Drug Administration (“FDA”) accepted the investigational new drug (“IND”)</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submitted by Novartis for a CRISPR/Cas9-based engineered cell therapy for the treatment of sickle cell disease. As a result of meeting this milestone, the Company recognized $5.0 million as collaboration revenue within the condensed consolidated statement of operations and comprehensive loss. No other milestones under the 2014 Novartis Agreement and the Novartis Amendment were achieved during the three or six months ended June 30, 2021 or 2020. The Company is eligible to receive additional downstream success-based milestones and royalties.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December 31, 2020, the Company had no accounts receivable or deferred revenue related to the 2014 Novartis Agreement and the Novartis Amendment.</w:t>
      </w:r>
    </w:p>
    <w:p>
      <w:pPr>
        <w:spacing w:after="0" w:line="166"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March 2020, the Company entered into an agreement to lease approximately 39,000 square feet of office and laboratory space at 281 Albany Street in Cambridge, Massachusetts under an operating lease agreement (the “281 Albany Lease”). The Company’s obligation to pay rent will start on the date that is six months after the commencement date or the date on which the Company occupies the premises, whichever occurs earlier (the “Rent Commencement Date”). The initial term of the 281 Albany Lease is ten years following the Rent Commencement Date. In March 2021 the Company determined, in accordance with Accounting Standards Codification 842, </w:t>
      </w:r>
      <w:r>
        <w:rPr>
          <w:rFonts w:ascii="Arial" w:cs="Arial" w:eastAsia="Arial" w:hAnsi="Arial"/>
          <w:sz w:val="16"/>
          <w:szCs w:val="16"/>
          <w:i w:val="1"/>
          <w:iCs w:val="1"/>
          <w:color w:val="auto"/>
        </w:rPr>
        <w:t>“Leases (Topic 842)”</w:t>
      </w:r>
      <w:r>
        <w:rPr>
          <w:rFonts w:ascii="Arial" w:cs="Arial" w:eastAsia="Arial" w:hAnsi="Arial"/>
          <w:sz w:val="16"/>
          <w:szCs w:val="16"/>
          <w:color w:val="auto"/>
        </w:rPr>
        <w:t>, that the commencement date of the lease had been met as the facility was substantially complete and available for use and, accordingly, the Company recognized a right-of-use asset and a lease liability of approximately $40.4 million and $34.8 million, respectively, in the first quarter of 2021 related to the 281 Albany Lease. In determining the lease liability, the Company used an incremental borrowing rate of 5.52% based on a number of factors including the total lease payments, the Company’s credit rating, and the lease term. Included in the recognized right-of-use asset at the inception of the lease was approximately $5.6 million in lease payments that were prepaid under the terms of the lease. The base rent under the 281 Albany Lease is $99.00 per square foot per year during the first year of the term, which is subject to scheduled annual increases up to $128.87 per square foot per year during the last year of the initial term, plus certain operating expenses and taxes. In addition, the landlord agreed to contribute an aggregate of $4.4 million toward the cost of construction and tenant improvements for the premises. In accordance with the 281 Albany Lease, the Company is required to maintain a letter of credit in the amount of $1.9 million that is restricted for the term of the lease. These restricted cash equivalents are reported in “Other Assets” in the Company’s condensed consolidated balance sheets. The Company has the option to extend the 281 Albany Lease for two successive five-year terms. The option for this extension is not included as part of the lease liability and right-of-use asset at June 30, 2021, as it is not reasonably certain that it will be exercised.</w:t>
      </w:r>
    </w:p>
    <w:p>
      <w:pPr>
        <w:spacing w:after="0" w:line="213"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2016, the Company adopted the Amended and Restated 2015 Stock Option and Incentive Plan (the “2015 Plan”). The 2015 Plan provides for the grant of incentive stock options, non-qualified stock options, stock appreciation rights, restricted stock awards, restricted stock units (“RSUs”) and other stock-based awards. Recipients of incentive stock options and non-qualified stock options are eligible to purchase shares of the Company’s common stock at an exercise price equal to the fair value of such stock on the grant date. Stock options granted under the 2015 Plan generally vest 25% on the first anniversary of the original vesting date, with the balance vesting monthly over the remaining three years, unless they contain specific performance-based vesting provisions. The maximum term of stock options granted under the 2015 Plan is ten years.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2021, there were 3,938,391 shares available for future issuance under the 2015 Plan and the 2016 Employee Stock Purchase Plan. The number of shares reserved for issuance under the 2015 Plan shall be cumulatively increased by four percent of the number of shares of common stock issued and outstanding on the immediately preceding December 31 or such lesser number of shares of common stock as determined by the board of directors. The number of shares reserved for issuance under the 2016 Employee Stock Purchase Plan shall be cumulatively increased by the lesser of a) one percent of the number of shares of common stock issued and outstanding on the immediately preceding December 31, b) 500,000 shares of common stock, or c) such lesser number of shares of common stock as determined by the board of directors.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Equity-based compensation expense is classified in the condensed consolidated statements of operations and comprehensive loss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6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57"/>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3"/>
                <w:szCs w:val="13"/>
                <w:color w:val="auto"/>
              </w:rPr>
            </w:pPr>
          </w:p>
        </w:tc>
      </w:tr>
      <w:tr>
        <w:trPr>
          <w:trHeight w:val="156"/>
        </w:trPr>
        <w:tc>
          <w:tcPr>
            <w:tcW w:w="2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80" w:type="dxa"/>
            <w:vAlign w:val="bottom"/>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gridSpan w:val="2"/>
            <w:shd w:val="clear" w:color="auto" w:fill="CFF0FC"/>
          </w:tcPr>
          <w:p>
            <w:pPr>
              <w:jc w:val="right"/>
              <w:ind w:right="9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6,135</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8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9,626</w:t>
            </w:r>
          </w:p>
        </w:tc>
        <w:tc>
          <w:tcPr>
            <w:tcW w:w="100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FF0FC"/>
          </w:tcPr>
          <w:p>
            <w:pPr>
              <w:spacing w:after="0"/>
              <w:rPr>
                <w:sz w:val="19"/>
                <w:szCs w:val="19"/>
                <w:color w:val="auto"/>
              </w:rPr>
            </w:pPr>
          </w:p>
        </w:tc>
      </w:tr>
      <w:tr>
        <w:trPr>
          <w:trHeight w:val="229"/>
        </w:trPr>
        <w:tc>
          <w:tcPr>
            <w:tcW w:w="2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3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3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3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w:t>
            </w:r>
          </w:p>
        </w:tc>
        <w:tc>
          <w:tcPr>
            <w:tcW w:w="100" w:type="dxa"/>
            <w:vAlign w:val="bottom"/>
            <w:tcBorders>
              <w:bottom w:val="single" w:sz="8" w:color="CFF0FC"/>
            </w:tcBorders>
          </w:tcPr>
          <w:p>
            <w:pPr>
              <w:spacing w:after="0"/>
              <w:rPr>
                <w:sz w:val="19"/>
                <w:szCs w:val="19"/>
                <w:color w:val="auto"/>
              </w:rPr>
            </w:pPr>
          </w:p>
        </w:tc>
      </w:tr>
      <w:tr>
        <w:trPr>
          <w:trHeight w:val="223"/>
        </w:trPr>
        <w:tc>
          <w:tcPr>
            <w:tcW w:w="26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2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10,614</w:t>
            </w:r>
          </w:p>
        </w:tc>
        <w:tc>
          <w:tcPr>
            <w:tcW w:w="3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3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w:t>
            </w:r>
          </w:p>
        </w:tc>
        <w:tc>
          <w:tcPr>
            <w:tcW w:w="3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are measured at fair value based on the quoted price of the Company’s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restricted stock activity for the six months ended June 30,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units as of December 31, 2020</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193,936</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353,072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(26,235)</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(23,588)</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units as of June 30, 2021</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497,185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the Company granted 259,839 RSUs with a service condition to executive and non-executive employees as part of their annual grant, which vest over a period of four years. The weighted average grant date fair value of these RSUs was $57.71. The vesting start date for these RSUs is January 1, 2021.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the unvested restricted stock as of June 30, 2021 are 78,705 RSUs that include a performance condition in addition to a service condition. These RSUs will vest over a period of 1.5 years and are subject to accelerated vesting based on the Company’s programs achieving certain development milestones before December 1, 2022. The fair value of the RSUs at date of grant was $15.05. An additional 26,235 shares from this grant vested in the six months ended June 30, 2021, as a service condition had been reached.</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As of June 30, 2021, there was $22.8 million of unrecognized equity-based compensation expense related to restricted stock that is expected to vest. These costs are expected to be recognized over a weighted average remaining vesting period of 3.1 years.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weighted average grant date fair value of options, estimated as of the grant date using the Black-Scholes option pricing model, was $48.44 and $38.70 per option for those options granted during the three and six months ended June 30, 2021 and $9.04 and $8.16 per option for those options granted during the three and six months ended June 30, 2020, respectively. The total intrinsic value (the amount by which the fair market value exceeded the exercise price) of stock options exercised during the three and six months ended June 30, 2021 was $29.7 million and $84.5 million, respectively, and during the three and six months ended June 30, 2020 was $0.5 million and $0.8 million, respectively. Weighted average assumptions used to apply this pricing model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580" w:type="dxa"/>
            <w:vAlign w:val="bottom"/>
            <w:gridSpan w:val="4"/>
          </w:tcPr>
          <w:p>
            <w:pPr>
              <w:ind w:left="740"/>
              <w:spacing w:after="0"/>
              <w:rPr>
                <w:sz w:val="20"/>
                <w:szCs w:val="20"/>
                <w:color w:val="auto"/>
              </w:rPr>
            </w:pPr>
            <w:r>
              <w:rPr>
                <w:rFonts w:ascii="Arial" w:cs="Arial" w:eastAsia="Arial" w:hAnsi="Arial"/>
                <w:sz w:val="14"/>
                <w:szCs w:val="14"/>
                <w:b w:val="1"/>
                <w:bCs w:val="1"/>
                <w:color w:val="auto"/>
              </w:rPr>
              <w:t>Three Months Ended June 30,</w:t>
            </w:r>
          </w:p>
        </w:tc>
        <w:tc>
          <w:tcPr>
            <w:tcW w:w="3460" w:type="dxa"/>
            <w:vAlign w:val="bottom"/>
            <w:gridSpan w:val="4"/>
          </w:tcPr>
          <w:p>
            <w:pPr>
              <w:ind w:left="8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20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1.1%</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0.4%</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0.9%</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0.9%</w:t>
            </w:r>
          </w:p>
        </w:tc>
        <w:tc>
          <w:tcPr>
            <w:tcW w:w="12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rPr>
              <w:t>6.0 years</w:t>
            </w:r>
          </w:p>
        </w:tc>
        <w:tc>
          <w:tcPr>
            <w:tcW w:w="1800" w:type="dxa"/>
            <w:vAlign w:val="bottom"/>
            <w:gridSpan w:val="2"/>
          </w:tcPr>
          <w:p>
            <w:pPr>
              <w:ind w:left="300"/>
              <w:spacing w:after="0"/>
              <w:rPr>
                <w:sz w:val="20"/>
                <w:szCs w:val="20"/>
                <w:color w:val="auto"/>
              </w:rPr>
            </w:pPr>
            <w:r>
              <w:rPr>
                <w:rFonts w:ascii="Arial" w:cs="Arial" w:eastAsia="Arial" w:hAnsi="Arial"/>
                <w:sz w:val="18"/>
                <w:szCs w:val="18"/>
                <w:color w:val="auto"/>
              </w:rPr>
              <w:t>5.5-6.0 years</w:t>
            </w:r>
          </w:p>
        </w:tc>
        <w:tc>
          <w:tcPr>
            <w:tcW w:w="1780" w:type="dxa"/>
            <w:vAlign w:val="bottom"/>
            <w:gridSpan w:val="2"/>
          </w:tcPr>
          <w:p>
            <w:pPr>
              <w:ind w:left="440"/>
              <w:spacing w:after="0"/>
              <w:rPr>
                <w:sz w:val="20"/>
                <w:szCs w:val="20"/>
                <w:color w:val="auto"/>
              </w:rPr>
            </w:pPr>
            <w:r>
              <w:rPr>
                <w:rFonts w:ascii="Arial" w:cs="Arial" w:eastAsia="Arial" w:hAnsi="Arial"/>
                <w:sz w:val="18"/>
                <w:szCs w:val="18"/>
                <w:color w:val="auto"/>
              </w:rPr>
              <w:t>6.0 years</w:t>
            </w:r>
          </w:p>
        </w:tc>
        <w:tc>
          <w:tcPr>
            <w:tcW w:w="1680" w:type="dxa"/>
            <w:vAlign w:val="bottom"/>
            <w:gridSpan w:val="2"/>
          </w:tcPr>
          <w:p>
            <w:pPr>
              <w:ind w:left="300"/>
              <w:spacing w:after="0"/>
              <w:rPr>
                <w:sz w:val="20"/>
                <w:szCs w:val="20"/>
                <w:color w:val="auto"/>
              </w:rPr>
            </w:pPr>
            <w:r>
              <w:rPr>
                <w:rFonts w:ascii="Arial" w:cs="Arial" w:eastAsia="Arial" w:hAnsi="Arial"/>
                <w:sz w:val="18"/>
                <w:szCs w:val="18"/>
                <w:color w:val="auto"/>
              </w:rPr>
              <w:t>5.5-6.0 years</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underlying stock</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73.0%</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70.2%</w:t>
            </w: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72.2%</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67.3%</w:t>
            </w:r>
          </w:p>
        </w:tc>
        <w:tc>
          <w:tcPr>
            <w:tcW w:w="120" w:type="dxa"/>
            <w:vAlign w:val="bottom"/>
            <w:shd w:val="clear" w:color="auto" w:fill="CFF0FC"/>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24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26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24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20"/>
                <w:szCs w:val="20"/>
                <w:color w:val="auto"/>
              </w:rPr>
            </w:pPr>
          </w:p>
        </w:tc>
      </w:tr>
    </w:tbl>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with maturities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option’s expected term.</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expected dividend yield assumption is based on the fact that the Company has never paid cash dividends and has no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intention to pay cash dividends.</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was derived from a blend of the Company’s historical volatility and an average of the historical stock</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volatilities of several peer companies within the Company’s industry, both over a period equivalent to the expected term of the stock option grants.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stock option awards are expected to be outstanding. For option grants that are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“plain vanilla,” the Company determines the expected term using the simplified method. The simplified method deems the term to be the average of the time-to-vesting and the contractual life of the options. The Company uses the simplified method because it does not have sufficient historical option exercise data to provide a reasonable basis upon which to estimate the expected term.</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 uses the market closing price of its common stock as reported on the Nasdaq Global Select Market to determine the fair value of the shares of common stock underlying stock options. The following is a summary of stock option activity for the six months ended June 30, 2021:</w:t>
      </w:r>
    </w:p>
    <w:tbl>
      <w:tblPr>
        <w:tblLayout w:type="fixed"/>
        <w:tblInd w:w="0" w:type="dxa"/>
        <w:tblCellMar>
          <w:top w:w="0" w:type="dxa"/>
          <w:left w:w="0" w:type="dxa"/>
          <w:bottom w:w="0" w:type="dxa"/>
          <w:right w:w="0" w:type="dxa"/>
        </w:tblCellMar>
      </w:tblPr>
      <w:tr>
        <w:trPr>
          <w:trHeight w:val="140"/>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jc w:val="center"/>
              <w:ind w:right="45"/>
              <w:spacing w:after="0" w:line="141" w:lineRule="exact"/>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 per</w:t>
            </w:r>
          </w:p>
        </w:tc>
        <w:tc>
          <w:tcPr>
            <w:tcW w:w="12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Borders>
              <w:top w:val="single" w:sz="8" w:color="auto"/>
            </w:tcBorders>
          </w:tcPr>
          <w:p>
            <w:pPr>
              <w:jc w:val="center"/>
              <w:ind w:right="45"/>
              <w:spacing w:after="0" w:line="155" w:lineRule="exact"/>
              <w:rPr>
                <w:sz w:val="20"/>
                <w:szCs w:val="20"/>
                <w:color w:val="auto"/>
              </w:rPr>
            </w:pPr>
            <w:r>
              <w:rPr>
                <w:rFonts w:ascii="Arial" w:cs="Arial" w:eastAsia="Arial" w:hAnsi="Arial"/>
                <w:sz w:val="14"/>
                <w:szCs w:val="14"/>
                <w:b w:val="1"/>
                <w:bCs w:val="1"/>
                <w:color w:val="auto"/>
                <w:w w:val="96"/>
              </w:rPr>
              <w:t>(In years)</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64"/>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6,977,440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1,993,802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61.07</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(1,409,370)</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(298,214)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27.85</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7,263,658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27.75</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jc w:val="right"/>
              <w:ind w:right="45"/>
              <w:spacing w:after="0"/>
              <w:rPr>
                <w:sz w:val="20"/>
                <w:szCs w:val="20"/>
                <w:color w:val="auto"/>
              </w:rPr>
            </w:pPr>
            <w:r>
              <w:rPr>
                <w:rFonts w:ascii="Arial" w:cs="Arial" w:eastAsia="Arial" w:hAnsi="Arial"/>
                <w:sz w:val="18"/>
                <w:szCs w:val="18"/>
                <w:color w:val="auto"/>
              </w:rPr>
              <w:t>8.14</w:t>
            </w:r>
          </w:p>
        </w:tc>
        <w:tc>
          <w:tcPr>
            <w:tcW w:w="26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tcBorders>
            <w:shd w:val="clear" w:color="auto" w:fill="CFF0FC"/>
          </w:tcPr>
          <w:p>
            <w:pPr>
              <w:jc w:val="right"/>
              <w:ind w:right="44"/>
              <w:spacing w:after="0"/>
              <w:rPr>
                <w:sz w:val="20"/>
                <w:szCs w:val="20"/>
                <w:color w:val="auto"/>
              </w:rPr>
            </w:pPr>
            <w:r>
              <w:rPr>
                <w:rFonts w:ascii="Arial" w:cs="Arial" w:eastAsia="Arial" w:hAnsi="Arial"/>
                <w:sz w:val="18"/>
                <w:szCs w:val="18"/>
                <w:color w:val="auto"/>
              </w:rPr>
              <w:t>974,470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Exercisable at June 30,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2,815,568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there was $91.6 million of unrecognized compensation cost related to stock options that have not yet vested. These costs are expected to be recognized over a weighted average remaining vesting period of 3.1 years.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calculates basic loss per share by dividing net loss for each respective period by the weighted average number of common shares outstanding for each respective period. The Company computes diluted loss per share after giving consideration to the dilutive effect of stock options and unvested restricted stock that are outstanding during the period, except where such securities would be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was calculated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7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2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4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2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(68,806)</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(32,393)</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(115,011)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(64,199)</w:t>
            </w:r>
          </w:p>
        </w:tc>
      </w:tr>
      <w:tr>
        <w:trPr>
          <w:trHeight w:val="215"/>
        </w:trPr>
        <w:tc>
          <w:tcPr>
            <w:tcW w:w="422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diluted</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68,164</w:t>
            </w:r>
          </w:p>
        </w:tc>
        <w:tc>
          <w:tcPr>
            <w:tcW w:w="24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53,369</w:t>
            </w:r>
          </w:p>
        </w:tc>
        <w:tc>
          <w:tcPr>
            <w:tcW w:w="24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67,675</w:t>
            </w:r>
          </w:p>
        </w:tc>
        <w:tc>
          <w:tcPr>
            <w:tcW w:w="2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51,938</w:t>
            </w:r>
          </w:p>
        </w:tc>
        <w:tc>
          <w:tcPr>
            <w:tcW w:w="120" w:type="dxa"/>
            <w:vAlign w:val="bottom"/>
            <w:tcBorders>
              <w:bottom w:val="single" w:sz="8" w:color="CFF0FC"/>
            </w:tcBorders>
          </w:tcPr>
          <w:p>
            <w:pPr>
              <w:spacing w:after="0"/>
              <w:rPr>
                <w:sz w:val="20"/>
                <w:szCs w:val="20"/>
                <w:color w:val="auto"/>
              </w:rPr>
            </w:pPr>
          </w:p>
        </w:tc>
      </w:tr>
      <w:tr>
        <w:trPr>
          <w:trHeight w:val="223"/>
        </w:trPr>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loss per share because their inclusion would have been anti-dilutive: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and Six Months Ended June 30,</w:t>
            </w: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320" w:type="dxa"/>
            <w:vAlign w:val="bottom"/>
            <w:tcBorders>
              <w:top w:val="single" w:sz="8" w:color="auto"/>
              <w:bottom w:val="single" w:sz="8" w:color="auto"/>
            </w:tcBorders>
          </w:tcPr>
          <w:p>
            <w:pPr>
              <w:jc w:val="right"/>
              <w:ind w:right="96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95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260" w:type="dxa"/>
            <w:vAlign w:val="bottom"/>
            <w:gridSpan w:val="3"/>
          </w:tcPr>
          <w:p>
            <w:pPr>
              <w:jc w:val="center"/>
              <w:ind w:left="1564"/>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units</w:t>
            </w:r>
          </w:p>
        </w:tc>
        <w:tc>
          <w:tcPr>
            <w:tcW w:w="4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Stock options</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7,264</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19"/>
                <w:szCs w:val="19"/>
                <w:color w:val="auto"/>
              </w:rPr>
            </w:pPr>
          </w:p>
        </w:tc>
        <w:tc>
          <w:tcPr>
            <w:tcW w:w="2320" w:type="dxa"/>
            <w:vAlign w:val="bottom"/>
            <w:tcBorders>
              <w:top w:val="single" w:sz="8" w:color="CFF0FC"/>
              <w:bottom w:val="single" w:sz="8" w:color="CFF0FC"/>
            </w:tcBorders>
            <w:shd w:val="clear" w:color="auto" w:fill="CFF0FC"/>
          </w:tcPr>
          <w:p>
            <w:pPr>
              <w:spacing w:after="0"/>
              <w:rPr>
                <w:sz w:val="19"/>
                <w:szCs w:val="19"/>
                <w:color w:val="auto"/>
              </w:rPr>
            </w:pPr>
          </w:p>
        </w:tc>
        <w:tc>
          <w:tcPr>
            <w:tcW w:w="2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320" w:type="dxa"/>
            <w:vAlign w:val="bottom"/>
            <w:vMerge w:val="restart"/>
          </w:tcPr>
          <w:p>
            <w:pPr>
              <w:jc w:val="right"/>
              <w:ind w:right="390"/>
              <w:spacing w:after="0"/>
              <w:rPr>
                <w:sz w:val="20"/>
                <w:szCs w:val="20"/>
                <w:color w:val="auto"/>
              </w:rPr>
            </w:pPr>
            <w:r>
              <w:rPr>
                <w:rFonts w:ascii="Arial" w:cs="Arial" w:eastAsia="Arial" w:hAnsi="Arial"/>
                <w:sz w:val="18"/>
                <w:szCs w:val="18"/>
                <w:color w:val="auto"/>
              </w:rPr>
              <w:t>15</w:t>
            </w:r>
          </w:p>
        </w:tc>
        <w:tc>
          <w:tcPr>
            <w:tcW w:w="2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changes in stockholders’ equity for the six-month periods ended June 30, 2021 and 2020 (in thousands, except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Additional</w:t>
            </w:r>
          </w:p>
        </w:tc>
        <w:tc>
          <w:tcPr>
            <w:tcW w:w="1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98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6"/>
                <w:szCs w:val="16"/>
                <w:b w:val="1"/>
                <w:bCs w:val="1"/>
                <w:color w:val="auto"/>
              </w:rPr>
              <w:t>Common</w:t>
            </w:r>
          </w:p>
        </w:tc>
        <w:tc>
          <w:tcPr>
            <w:tcW w:w="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Paid-In</w:t>
            </w: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Comprehensive</w:t>
            </w:r>
          </w:p>
        </w:tc>
        <w:tc>
          <w:tcPr>
            <w:tcW w:w="1300" w:type="dxa"/>
            <w:vAlign w:val="bottom"/>
            <w:gridSpan w:val="4"/>
          </w:tcPr>
          <w:p>
            <w:pPr>
              <w:ind w:left="100"/>
              <w:spacing w:after="0"/>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7"/>
              </w:rPr>
              <w:t>Capital</w:t>
            </w: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Equity</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2020</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66,234,056</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2"/>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962,173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(435,109)</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527,072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80" w:type="dxa"/>
            <w:vAlign w:val="bottom"/>
          </w:tcPr>
          <w:p>
            <w:pPr>
              <w:spacing w:after="0"/>
              <w:rPr>
                <w:sz w:val="20"/>
                <w:szCs w:val="20"/>
                <w:color w:val="auto"/>
              </w:rPr>
            </w:pPr>
            <w:r>
              <w:rPr>
                <w:rFonts w:ascii="Arial" w:cs="Arial" w:eastAsia="Arial" w:hAnsi="Arial"/>
                <w:sz w:val="16"/>
                <w:szCs w:val="16"/>
                <w:color w:val="auto"/>
              </w:rPr>
              <w:t>Issuance of common stock through at-the-market</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120"/>
              <w:spacing w:after="0"/>
              <w:rPr>
                <w:sz w:val="20"/>
                <w:szCs w:val="20"/>
                <w:color w:val="auto"/>
              </w:rPr>
            </w:pPr>
            <w:r>
              <w:rPr>
                <w:rFonts w:ascii="Arial" w:cs="Arial" w:eastAsia="Arial" w:hAnsi="Arial"/>
                <w:sz w:val="16"/>
                <w:szCs w:val="16"/>
                <w:color w:val="auto"/>
              </w:rPr>
              <w:t>offerings, net of issuance costs of $52</w:t>
            </w:r>
          </w:p>
        </w:tc>
        <w:tc>
          <w:tcPr>
            <w:tcW w:w="940" w:type="dxa"/>
            <w:vAlign w:val="bottom"/>
          </w:tcPr>
          <w:p>
            <w:pPr>
              <w:jc w:val="right"/>
              <w:spacing w:after="0"/>
              <w:rPr>
                <w:sz w:val="20"/>
                <w:szCs w:val="20"/>
                <w:color w:val="auto"/>
              </w:rPr>
            </w:pPr>
            <w:r>
              <w:rPr>
                <w:rFonts w:ascii="Arial" w:cs="Arial" w:eastAsia="Arial" w:hAnsi="Arial"/>
                <w:sz w:val="16"/>
                <w:szCs w:val="16"/>
                <w:color w:val="auto"/>
              </w:rPr>
              <w:t>641,709</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45,255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1,014,569</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80" w:type="dxa"/>
            <w:vAlign w:val="bottom"/>
          </w:tcPr>
          <w:p>
            <w:pPr>
              <w:spacing w:after="0"/>
              <w:rPr>
                <w:sz w:val="20"/>
                <w:szCs w:val="20"/>
                <w:color w:val="auto"/>
              </w:rPr>
            </w:pPr>
            <w:r>
              <w:rPr>
                <w:rFonts w:ascii="Arial" w:cs="Arial" w:eastAsia="Arial" w:hAnsi="Arial"/>
                <w:sz w:val="16"/>
                <w:szCs w:val="16"/>
                <w:color w:val="auto"/>
              </w:rPr>
              <w:t>Equity-based compensation</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loss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4080" w:type="dxa"/>
            <w:vAlign w:val="bottom"/>
          </w:tcPr>
          <w:p>
            <w:pPr>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(46,205)</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(46,205)</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March 31, 2021</w:t>
            </w: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8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67,890,334</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1,027,192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(481,314)</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545,873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394,801</w:t>
            </w:r>
          </w:p>
        </w:tc>
        <w:tc>
          <w:tcPr>
            <w:tcW w:w="2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6,163</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units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26,235</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80" w:type="dxa"/>
            <w:vAlign w:val="bottom"/>
          </w:tcPr>
          <w:p>
            <w:pPr>
              <w:spacing w:after="0"/>
              <w:rPr>
                <w:sz w:val="20"/>
                <w:szCs w:val="20"/>
                <w:color w:val="auto"/>
              </w:rPr>
            </w:pPr>
            <w:r>
              <w:rPr>
                <w:rFonts w:ascii="Arial" w:cs="Arial" w:eastAsia="Arial" w:hAnsi="Arial"/>
                <w:sz w:val="16"/>
                <w:szCs w:val="16"/>
                <w:color w:val="auto"/>
              </w:rPr>
              <w:t>Issuance of shares under employee stock</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120"/>
              <w:spacing w:after="0"/>
              <w:rPr>
                <w:sz w:val="20"/>
                <w:szCs w:val="20"/>
                <w:color w:val="auto"/>
              </w:rPr>
            </w:pPr>
            <w:r>
              <w:rPr>
                <w:rFonts w:ascii="Arial" w:cs="Arial" w:eastAsia="Arial" w:hAnsi="Arial"/>
                <w:sz w:val="16"/>
                <w:szCs w:val="16"/>
                <w:color w:val="auto"/>
              </w:rPr>
              <w:t>purchase plan</w:t>
            </w:r>
          </w:p>
        </w:tc>
        <w:tc>
          <w:tcPr>
            <w:tcW w:w="940" w:type="dxa"/>
            <w:vAlign w:val="bottom"/>
          </w:tcPr>
          <w:p>
            <w:pPr>
              <w:jc w:val="right"/>
              <w:spacing w:after="0"/>
              <w:rPr>
                <w:sz w:val="20"/>
                <w:szCs w:val="20"/>
                <w:color w:val="auto"/>
              </w:rPr>
            </w:pPr>
            <w:r>
              <w:rPr>
                <w:rFonts w:ascii="Arial" w:cs="Arial" w:eastAsia="Arial" w:hAnsi="Arial"/>
                <w:sz w:val="16"/>
                <w:szCs w:val="16"/>
                <w:color w:val="auto"/>
              </w:rPr>
              <w:t>20,410</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Equity-based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8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(68,806)</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(68,806)</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6"/>
                <w:szCs w:val="16"/>
                <w:b w:val="1"/>
                <w:bCs w:val="1"/>
                <w:color w:val="auto"/>
              </w:rPr>
              <w:t>Balance at June 30, 2021</w:t>
            </w: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80" w:type="dxa"/>
            <w:vAlign w:val="bottom"/>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68,331,780</w:t>
            </w:r>
          </w:p>
        </w:tc>
        <w:tc>
          <w:tcPr>
            <w:tcW w:w="260" w:type="dxa"/>
            <w:vAlign w:val="bottom"/>
          </w:tcPr>
          <w:p>
            <w:pPr>
              <w:spacing w:after="0"/>
              <w:rPr>
                <w:sz w:val="17"/>
                <w:szCs w:val="17"/>
                <w:color w:val="auto"/>
              </w:rPr>
            </w:pPr>
          </w:p>
        </w:tc>
        <w:tc>
          <w:tcPr>
            <w:tcW w:w="780" w:type="dxa"/>
            <w:vAlign w:val="bottom"/>
          </w:tcPr>
          <w:p>
            <w:pPr>
              <w:jc w:val="right"/>
              <w:ind w:right="622"/>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1,044,939</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(550,120)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494,813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4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Additional</w:t>
            </w:r>
          </w:p>
        </w:tc>
        <w:tc>
          <w:tcPr>
            <w:tcW w:w="1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98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6"/>
                <w:szCs w:val="16"/>
                <w:b w:val="1"/>
                <w:bCs w:val="1"/>
                <w:color w:val="auto"/>
              </w:rPr>
              <w:t>Common</w:t>
            </w:r>
          </w:p>
        </w:tc>
        <w:tc>
          <w:tcPr>
            <w:tcW w:w="1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Paid-In</w:t>
            </w: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Comprehensive</w:t>
            </w:r>
          </w:p>
        </w:tc>
        <w:tc>
          <w:tcPr>
            <w:tcW w:w="1300" w:type="dxa"/>
            <w:vAlign w:val="bottom"/>
            <w:gridSpan w:val="4"/>
          </w:tcPr>
          <w:p>
            <w:pPr>
              <w:ind w:left="100"/>
              <w:spacing w:after="0"/>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26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7"/>
              </w:rPr>
              <w:t>Capital</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Deficit</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3"/>
              </w:rPr>
              <w:t>Equity</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50,198,044</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2"/>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570,493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(300,878)</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80" w:type="dxa"/>
            <w:vAlign w:val="bottom"/>
          </w:tcPr>
          <w:p>
            <w:pPr>
              <w:spacing w:after="0"/>
              <w:rPr>
                <w:sz w:val="20"/>
                <w:szCs w:val="20"/>
                <w:color w:val="auto"/>
              </w:rPr>
            </w:pPr>
            <w:r>
              <w:rPr>
                <w:rFonts w:ascii="Arial" w:cs="Arial" w:eastAsia="Arial" w:hAnsi="Arial"/>
                <w:sz w:val="16"/>
                <w:szCs w:val="16"/>
                <w:color w:val="auto"/>
              </w:rPr>
              <w:t>Issuance of common stock through at-the-market</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120"/>
              <w:spacing w:after="0"/>
              <w:rPr>
                <w:sz w:val="20"/>
                <w:szCs w:val="20"/>
                <w:color w:val="auto"/>
              </w:rPr>
            </w:pPr>
            <w:r>
              <w:rPr>
                <w:rFonts w:ascii="Arial" w:cs="Arial" w:eastAsia="Arial" w:hAnsi="Arial"/>
                <w:sz w:val="16"/>
                <w:szCs w:val="16"/>
                <w:color w:val="auto"/>
              </w:rPr>
              <w:t>offerings, net of issuance costs of $48</w:t>
            </w:r>
          </w:p>
        </w:tc>
        <w:tc>
          <w:tcPr>
            <w:tcW w:w="940" w:type="dxa"/>
            <w:vAlign w:val="bottom"/>
          </w:tcPr>
          <w:p>
            <w:pPr>
              <w:jc w:val="right"/>
              <w:spacing w:after="0"/>
              <w:rPr>
                <w:sz w:val="20"/>
                <w:szCs w:val="20"/>
                <w:color w:val="auto"/>
              </w:rPr>
            </w:pPr>
            <w:r>
              <w:rPr>
                <w:rFonts w:ascii="Arial" w:cs="Arial" w:eastAsia="Arial" w:hAnsi="Arial"/>
                <w:sz w:val="16"/>
                <w:szCs w:val="16"/>
                <w:color w:val="auto"/>
              </w:rPr>
              <w:t>351,252</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53,579</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80" w:type="dxa"/>
            <w:vAlign w:val="bottom"/>
          </w:tcPr>
          <w:p>
            <w:pPr>
              <w:spacing w:after="0"/>
              <w:rPr>
                <w:sz w:val="20"/>
                <w:szCs w:val="20"/>
                <w:color w:val="auto"/>
              </w:rPr>
            </w:pPr>
            <w:r>
              <w:rPr>
                <w:rFonts w:ascii="Arial" w:cs="Arial" w:eastAsia="Arial" w:hAnsi="Arial"/>
                <w:sz w:val="16"/>
                <w:szCs w:val="16"/>
                <w:color w:val="auto"/>
              </w:rPr>
              <w:t>Equity-based compensation</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80" w:type="dxa"/>
            <w:vAlign w:val="bottom"/>
          </w:tcPr>
          <w:p>
            <w:pPr>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(31,806)</w:t>
            </w: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(31,806)</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March 31, 2020</w:t>
            </w: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8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50,602,875</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580,065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(332,684)</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247,759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80" w:type="dxa"/>
            <w:vAlign w:val="bottom"/>
          </w:tcPr>
          <w:p>
            <w:pPr>
              <w:spacing w:after="0"/>
              <w:rPr>
                <w:sz w:val="20"/>
                <w:szCs w:val="20"/>
                <w:color w:val="auto"/>
              </w:rPr>
            </w:pPr>
            <w:r>
              <w:rPr>
                <w:rFonts w:ascii="Arial" w:cs="Arial" w:eastAsia="Arial" w:hAnsi="Arial"/>
                <w:sz w:val="16"/>
                <w:szCs w:val="16"/>
                <w:color w:val="auto"/>
              </w:rPr>
              <w:t>Issuance of common stock through follow-on</w:t>
            </w: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120"/>
              <w:spacing w:after="0"/>
              <w:rPr>
                <w:sz w:val="20"/>
                <w:szCs w:val="20"/>
                <w:color w:val="auto"/>
              </w:rPr>
            </w:pPr>
            <w:r>
              <w:rPr>
                <w:rFonts w:ascii="Arial" w:cs="Arial" w:eastAsia="Arial" w:hAnsi="Arial"/>
                <w:sz w:val="16"/>
                <w:szCs w:val="16"/>
                <w:color w:val="auto"/>
              </w:rPr>
              <w:t>offering, net of issuance costs of $369</w:t>
            </w:r>
          </w:p>
        </w:tc>
        <w:tc>
          <w:tcPr>
            <w:tcW w:w="940" w:type="dxa"/>
            <w:vAlign w:val="bottom"/>
          </w:tcPr>
          <w:p>
            <w:pPr>
              <w:jc w:val="right"/>
              <w:spacing w:after="0"/>
              <w:rPr>
                <w:sz w:val="20"/>
                <w:szCs w:val="20"/>
                <w:color w:val="auto"/>
              </w:rPr>
            </w:pPr>
            <w:r>
              <w:rPr>
                <w:rFonts w:ascii="Arial" w:cs="Arial" w:eastAsia="Arial" w:hAnsi="Arial"/>
                <w:sz w:val="16"/>
                <w:szCs w:val="16"/>
                <w:color w:val="auto"/>
              </w:rPr>
              <w:t>6,301,370</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107,731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in private placement</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 Regeneron</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925,218</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12,580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80" w:type="dxa"/>
            <w:vAlign w:val="bottom"/>
          </w:tcPr>
          <w:p>
            <w:pPr>
              <w:spacing w:after="0"/>
              <w:rPr>
                <w:sz w:val="20"/>
                <w:szCs w:val="20"/>
                <w:color w:val="auto"/>
              </w:rPr>
            </w:pPr>
            <w:r>
              <w:rPr>
                <w:rFonts w:ascii="Arial" w:cs="Arial" w:eastAsia="Arial" w:hAnsi="Arial"/>
                <w:sz w:val="16"/>
                <w:szCs w:val="16"/>
                <w:color w:val="auto"/>
              </w:rPr>
              <w:t>Issuance of common stock through at-the-market</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120"/>
              <w:spacing w:after="0"/>
              <w:rPr>
                <w:sz w:val="20"/>
                <w:szCs w:val="20"/>
                <w:color w:val="auto"/>
              </w:rPr>
            </w:pPr>
            <w:r>
              <w:rPr>
                <w:rFonts w:ascii="Arial" w:cs="Arial" w:eastAsia="Arial" w:hAnsi="Arial"/>
                <w:sz w:val="16"/>
                <w:szCs w:val="16"/>
                <w:color w:val="auto"/>
              </w:rPr>
              <w:t>offerings, net of issuance costs of $23</w:t>
            </w:r>
          </w:p>
        </w:tc>
        <w:tc>
          <w:tcPr>
            <w:tcW w:w="940" w:type="dxa"/>
            <w:vAlign w:val="bottom"/>
          </w:tcPr>
          <w:p>
            <w:pPr>
              <w:jc w:val="right"/>
              <w:spacing w:after="0"/>
              <w:rPr>
                <w:sz w:val="20"/>
                <w:szCs w:val="20"/>
                <w:color w:val="auto"/>
              </w:rPr>
            </w:pPr>
            <w:r>
              <w:rPr>
                <w:rFonts w:ascii="Arial" w:cs="Arial" w:eastAsia="Arial" w:hAnsi="Arial"/>
                <w:sz w:val="16"/>
                <w:szCs w:val="16"/>
                <w:color w:val="auto"/>
              </w:rPr>
              <w:t>755,848</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83,631</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80" w:type="dxa"/>
            <w:vAlign w:val="bottom"/>
          </w:tcPr>
          <w:p>
            <w:pPr>
              <w:spacing w:after="0"/>
              <w:rPr>
                <w:sz w:val="20"/>
                <w:szCs w:val="20"/>
                <w:color w:val="auto"/>
              </w:rPr>
            </w:pPr>
            <w:r>
              <w:rPr>
                <w:rFonts w:ascii="Arial" w:cs="Arial" w:eastAsia="Arial" w:hAnsi="Arial"/>
                <w:sz w:val="16"/>
                <w:szCs w:val="16"/>
                <w:color w:val="auto"/>
              </w:rPr>
              <w:t>Issuance of shares under employee stock</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120"/>
              <w:spacing w:after="0"/>
              <w:rPr>
                <w:sz w:val="20"/>
                <w:szCs w:val="20"/>
                <w:color w:val="auto"/>
              </w:rPr>
            </w:pPr>
            <w:r>
              <w:rPr>
                <w:rFonts w:ascii="Arial" w:cs="Arial" w:eastAsia="Arial" w:hAnsi="Arial"/>
                <w:sz w:val="16"/>
                <w:szCs w:val="16"/>
                <w:color w:val="auto"/>
              </w:rPr>
              <w:t>purchase plan</w:t>
            </w:r>
          </w:p>
        </w:tc>
        <w:tc>
          <w:tcPr>
            <w:tcW w:w="940" w:type="dxa"/>
            <w:vAlign w:val="bottom"/>
          </w:tcPr>
          <w:p>
            <w:pPr>
              <w:jc w:val="right"/>
              <w:spacing w:after="0"/>
              <w:rPr>
                <w:sz w:val="20"/>
                <w:szCs w:val="20"/>
                <w:color w:val="auto"/>
              </w:rPr>
            </w:pPr>
            <w:r>
              <w:rPr>
                <w:rFonts w:ascii="Arial" w:cs="Arial" w:eastAsia="Arial" w:hAnsi="Arial"/>
                <w:sz w:val="16"/>
                <w:szCs w:val="16"/>
                <w:color w:val="auto"/>
              </w:rPr>
              <w:t>55,296</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Equity-based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8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(32,393)</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(32,393)</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6"/>
                <w:szCs w:val="16"/>
                <w:b w:val="1"/>
                <w:bCs w:val="1"/>
                <w:color w:val="auto"/>
              </w:rPr>
              <w:t>Balance at June 30, 2020</w:t>
            </w: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80" w:type="dxa"/>
            <w:vAlign w:val="bottom"/>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58,724,238</w:t>
            </w:r>
          </w:p>
        </w:tc>
        <w:tc>
          <w:tcPr>
            <w:tcW w:w="260" w:type="dxa"/>
            <w:vAlign w:val="bottom"/>
          </w:tcPr>
          <w:p>
            <w:pPr>
              <w:spacing w:after="0"/>
              <w:rPr>
                <w:sz w:val="17"/>
                <w:szCs w:val="17"/>
                <w:color w:val="auto"/>
              </w:rPr>
            </w:pPr>
          </w:p>
        </w:tc>
        <w:tc>
          <w:tcPr>
            <w:tcW w:w="780" w:type="dxa"/>
            <w:vAlign w:val="bottom"/>
          </w:tcPr>
          <w:p>
            <w:pPr>
              <w:jc w:val="right"/>
              <w:ind w:right="622"/>
              <w:spacing w:after="0"/>
              <w:rPr>
                <w:sz w:val="20"/>
                <w:szCs w:val="20"/>
                <w:color w:val="auto"/>
              </w:rPr>
            </w:pPr>
            <w:r>
              <w:rPr>
                <w:rFonts w:ascii="Arial" w:cs="Arial" w:eastAsia="Arial" w:hAnsi="Arial"/>
                <w:sz w:val="15"/>
                <w:szCs w:val="15"/>
                <w:color w:val="auto"/>
                <w:w w:val="71"/>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716,503</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(365,077)</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351,587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2019, the Company entered into an Open Market Sale Agreement (the “2019 Sales Agreement”) with Jefferies, under which Jefferies was able to offer and sell, from time to time in “at-the-market” offerings, common stock having aggregate gross proceeds of up to $150.0 million. The Company agreed to pay Jefferies cash commissions of 3.0% of the gross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proceeds of sales of common stock under the 2019 Sales Agreement. Please refer to the Company’s Annual Report for the year ended December 31, 2020 for additional information regarding these offerings.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2021, the Company issued 641,709 shares of its common stock in a series of sales at an average price of $72.79 per share in accordance with the 2019 Sales Agreement, for aggregate net proceeds of $45.3 million after payment of cash commissions to Jefferies and approximately $0.1 million related to legal, accounting and other fees in connection with the sales. During the six months ended June 30, 2020, the Company issued 1,107,100 shares of its common stock in a series of sales at an average price of $13.78 per share in accordance with the 2019 Sales Agreement, for aggregate net proceeds of $14.7 million after payment of cash commissions to Jefferies and approximately $0.1 million related to legal, accounting and other fees in connection with the sales.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$47.4 million in shares of common stock remain eligible for sale under the 2019 Sales Agreement.</w:t>
      </w:r>
    </w:p>
    <w:p>
      <w:pPr>
        <w:spacing w:after="0" w:line="221"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purchase materials or supplies from entities that are associated with a party that meets the criteria of a related party of the Company. These transactions are reviewed quarterly and to date have not been material to the Company’s condensed consolidated financial statements.</w:t>
      </w:r>
    </w:p>
    <w:p>
      <w:pPr>
        <w:spacing w:after="0" w:line="180"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CAR-T Cell Therapy Company</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22, 2021, the Company announced that it has entered into an agreement with Cellex Cell Professionals GmbH (“Cellex”) and funds managed by Blackstone Life Sciences Advisors L.L.C. (“BXLS”) to establish a new CAR-T cell therapy company (“NewCo”) that will be focused on the development of allogeneic universal CAR-T cell therapies for immuno-oncology and autoimmune diseases. The new company will be headquartered in Cambridge, Massachusetts and will acquire Cellex’s subsidiary GEMoaB GmbH (“GEMoaB”), with established offices and labs in Dresden, Germany. The new company will have an exclusive license to Intellia’s CRISPR/Cas9 allogeneic cell engineering platform limited to its use with GEMoaB’s switchable, universal CAR-T cell platforms (UniCAR and RevCAR). As a subsidiary of the new company, GEMoaB will continue to advance its clinical-stage, autologous CAR-T cell therapy programs. Funds managed by Blackstone Life Sciences have committed up to $250 million to the transaction and with Intellia and Cellex (and certain related entities) have equal ownership of the new company at the time of the initial closing. The transaction closed in the third quarter of 2021.</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2021, the new company and Intellia entered into a license and collaboration agreement with NewCo, under which the Company will collaborate to develop allogeneic universal CAR-T cell therapies, as well as a co-development and co-funding (“Co/Co”) agreement to co-develop an allogeneic universal CAR-T cell product for an immuno-oncology indication, which the parties will co-commercialize in the U.S. and key European countries. The Company will have one additional option to enter into a second Co/Co agreement from selected allogeneic universal CAR-T cell therapy products that the parties will develop under the collaboration.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July 2021 Offering</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29, 2021, the Company entered into an underwriting agreement related to a public offering of 4,758,620 shares of its common stock (inclusive of shares sold pursuant to the exercise of the underwriters’ option to purchase additional shares) at a public offering price of $145.00 per share. The offering closed on July 2, 2021, for aggregated estimated net proceeds of $648.1 million after deducting $41.9 million in underwriting discounts and estimated offering costs.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Lease Agreement</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July 2021, the Company entered into an agreement to lease approximately 13,662 square feet of space at 17 Tudor Street in Cambridge, Massachusetts under an operating lease agreement (the “17 Tudor Lease”). The Company’s obligation to pay rent will start on November 1, 2021. The initial term of the 17 Tudor Lease is five years. The Company has an option to extend the 17 Tudor Lease for one three-year term. The base rent under the 17 Tudor Lease is $74.00 per square foot during the first year of the term, which is subject to scheduled annual increases throughout the term, resulting in a base rent of $83.29 per square foot during the last year of the initial term, plus certain operating expenses and taxes.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ind w:right="3820"/>
        <w:spacing w:after="0" w:line="37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Information</w:t>
      </w:r>
    </w:p>
    <w:p>
      <w:pPr>
        <w:spacing w:after="0" w:line="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This Quarterly Report on Form 10-Q contains forward-looking statements which are made pursuant to the safe harbor provisions of Section 27A of the Securities Act of 1933, as amended, and Section 21E of the Securities Exchange Act of 1934, as amended (the “Exchange Act”).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these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57" w:lineRule="exact"/>
        <w:rPr>
          <w:sz w:val="20"/>
          <w:szCs w:val="20"/>
          <w:color w:val="auto"/>
        </w:rPr>
      </w:pPr>
    </w:p>
    <w:p>
      <w:pPr>
        <w:jc w:val="both"/>
        <w:ind w:left="1080" w:hanging="640"/>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execute our clinical study strategy for NTLA-2001, our program for the treatment of transthyretin amyloidosis, including the ability to successfully complete our Phase 1 study and determine a recommended dose in our ongoing Phase 1 study that can be advanced into later-stage studies, or the success of such program;</w:t>
      </w:r>
    </w:p>
    <w:p>
      <w:pPr>
        <w:spacing w:after="0" w:line="75" w:lineRule="exact"/>
        <w:rPr>
          <w:rFonts w:ascii="Arial" w:cs="Arial" w:eastAsia="Arial" w:hAnsi="Arial"/>
          <w:sz w:val="18"/>
          <w:szCs w:val="18"/>
          <w:color w:val="auto"/>
        </w:rPr>
      </w:pPr>
    </w:p>
    <w:p>
      <w:pPr>
        <w:ind w:left="1060" w:hanging="526"/>
        <w:spacing w:after="0" w:line="277"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acceptance of our initial clinical trial application filing, the anticipated timing of our clinical trial and initiating patient screening for NTLA-5001, our program for the treatment of acute myeloid leukemia, or the success of such program;</w:t>
      </w:r>
    </w:p>
    <w:p>
      <w:pPr>
        <w:spacing w:after="0" w:line="62" w:lineRule="exact"/>
        <w:rPr>
          <w:rFonts w:ascii="Arial" w:cs="Arial" w:eastAsia="Arial" w:hAnsi="Arial"/>
          <w:sz w:val="18"/>
          <w:szCs w:val="18"/>
          <w:color w:val="auto"/>
        </w:rPr>
      </w:pPr>
    </w:p>
    <w:p>
      <w:pPr>
        <w:ind w:left="1060" w:right="20" w:hanging="526"/>
        <w:spacing w:after="0" w:line="277"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acceptance of our initial clinical trial application filing, the anticipated timing of our clinical trial and initiating enrollment for NTLA-2002, our program for the treatment of hereditary angioedema, or the success of such program;</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ability to use a modular platform capability or other strategies to efficiently discover and develop product candidates, including by applying learnings from one program to other programs;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our ability to research, develop or maintain a pipeline of product candidates, including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product candidates;</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ability to manufacture or obtain materials for our preclinical and clinical studies, and our product candidates;</w:t>
      </w:r>
    </w:p>
    <w:p>
      <w:pPr>
        <w:spacing w:after="0" w:line="130" w:lineRule="exact"/>
        <w:rPr>
          <w:rFonts w:ascii="Arial" w:cs="Arial" w:eastAsia="Arial" w:hAnsi="Arial"/>
          <w:sz w:val="18"/>
          <w:szCs w:val="18"/>
          <w:color w:val="auto"/>
        </w:rPr>
      </w:pPr>
    </w:p>
    <w:p>
      <w:pPr>
        <w:jc w:val="both"/>
        <w:ind w:left="1060" w:hanging="526"/>
        <w:spacing w:after="0" w:line="263"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ability to advance any product candidates into, and successfully complete, clinical studies, including clinical studies necessary for regulatory approval and commercialization, and to demonstrate to the regulators that the product candidates are safe, effective, pure and potent and that their benefits outweigh known and potential risks for the intended patient population;</w:t>
      </w:r>
    </w:p>
    <w:p>
      <w:pPr>
        <w:spacing w:after="0" w:line="75" w:lineRule="exact"/>
        <w:rPr>
          <w:rFonts w:ascii="Arial" w:cs="Arial" w:eastAsia="Arial" w:hAnsi="Arial"/>
          <w:sz w:val="18"/>
          <w:szCs w:val="18"/>
          <w:color w:val="auto"/>
        </w:rPr>
      </w:pPr>
    </w:p>
    <w:p>
      <w:pPr>
        <w:ind w:left="1060" w:hanging="526"/>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ability to advance our genome editing and therapeutic delivery capabilities;</w:t>
      </w:r>
    </w:p>
    <w:p>
      <w:pPr>
        <w:spacing w:after="0" w:line="130" w:lineRule="exact"/>
        <w:rPr>
          <w:rFonts w:ascii="Arial" w:cs="Arial" w:eastAsia="Arial" w:hAnsi="Arial"/>
          <w:sz w:val="18"/>
          <w:szCs w:val="18"/>
          <w:color w:val="auto"/>
        </w:rPr>
      </w:pPr>
    </w:p>
    <w:p>
      <w:pPr>
        <w:ind w:left="1060" w:hanging="526"/>
        <w:spacing w:after="0" w:line="277"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scope of protection we are able to develop, establish and maintain for intellectual property rights, including patents and license rights, covering our product candidates and technology;</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our ability to operate, including commercializing products, without infringing or breaching the proprietary or contractual rights of others;</w:t>
      </w:r>
    </w:p>
    <w:p>
      <w:pPr>
        <w:spacing w:after="0" w:line="142" w:lineRule="exact"/>
        <w:rPr>
          <w:rFonts w:ascii="Arial" w:cs="Arial" w:eastAsia="Arial" w:hAnsi="Arial"/>
          <w:sz w:val="17"/>
          <w:szCs w:val="17"/>
          <w:color w:val="auto"/>
        </w:rPr>
      </w:pPr>
    </w:p>
    <w:p>
      <w:pPr>
        <w:ind w:left="1060" w:right="20" w:hanging="526"/>
        <w:spacing w:after="0" w:line="277"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issuance or enforcement of, and compliance with, regulatory requirements and guidance regarding preclinical and clinical studies relevant to genome editing and our product candidates;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market acceptance, pricing and reimbursement of our product candidates, if approved;</w:t>
      </w:r>
    </w:p>
    <w:p>
      <w:pPr>
        <w:spacing w:after="0" w:line="130" w:lineRule="exact"/>
        <w:rPr>
          <w:rFonts w:ascii="Arial" w:cs="Arial" w:eastAsia="Arial" w:hAnsi="Arial"/>
          <w:sz w:val="18"/>
          <w:szCs w:val="18"/>
          <w:color w:val="auto"/>
        </w:rPr>
      </w:pPr>
    </w:p>
    <w:p>
      <w:pPr>
        <w:ind w:left="1060" w:hanging="526"/>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30" w:lineRule="exact"/>
        <w:rPr>
          <w:rFonts w:ascii="Arial" w:cs="Arial" w:eastAsia="Arial" w:hAnsi="Arial"/>
          <w:sz w:val="18"/>
          <w:szCs w:val="18"/>
          <w:color w:val="auto"/>
        </w:rPr>
      </w:pPr>
    </w:p>
    <w:p>
      <w:pPr>
        <w:ind w:left="1060" w:hanging="526"/>
        <w:spacing w:after="0" w:line="342" w:lineRule="auto"/>
        <w:tabs>
          <w:tab w:leader="none" w:pos="10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potential benefits of strategic agreements, such as collaborations, co-development and co-commercialization, acquisitions, dispositions, mergers, joint ventures, and investment agreements, and our ability to establish and maintain strategic arrangements under favorable terms;</w:t>
      </w:r>
    </w:p>
    <w:p>
      <w:pPr>
        <w:spacing w:after="0" w:line="15" w:lineRule="exact"/>
        <w:rPr>
          <w:rFonts w:ascii="Arial" w:cs="Arial" w:eastAsia="Arial" w:hAnsi="Arial"/>
          <w:sz w:val="16"/>
          <w:szCs w:val="16"/>
          <w:color w:val="auto"/>
        </w:rPr>
      </w:pPr>
    </w:p>
    <w:p>
      <w:pPr>
        <w:ind w:left="1060" w:hanging="526"/>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ability to acquire and maintain relevant intellectual property licenses and rights, and the scope and terms of such rights;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1060" w:right="20" w:hanging="52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relating to our licensors, licensees, third-parties and ventures from which we derive or license rights, as well as collaborators, competitors and our industry;</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the COVID-19 pandemic, including mitigation efforts and economic effects, on any of the foregoing or other aspects of our business operations; and</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All of our express or implied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Overview</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Intellia Therapeutics, Inc. (“we,” “us,” “our,” “Intellia,” or the “Company”) is a leading clinical-stage genome editing company, focused on developing novel, potentially curative therapeutics using CRISPR/Cas9 technology. CRISPR/Cas9, an acronym for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lustered, </w:t>
      </w:r>
      <w:r>
        <w:rPr>
          <w:rFonts w:ascii="Arial" w:cs="Arial" w:eastAsia="Arial" w:hAnsi="Arial"/>
          <w:sz w:val="17"/>
          <w:szCs w:val="17"/>
          <w:u w:val="single" w:color="auto"/>
          <w:color w:val="auto"/>
        </w:rPr>
        <w:t>R</w:t>
      </w:r>
      <w:r>
        <w:rPr>
          <w:rFonts w:ascii="Arial" w:cs="Arial" w:eastAsia="Arial" w:hAnsi="Arial"/>
          <w:sz w:val="17"/>
          <w:szCs w:val="17"/>
          <w:color w:val="auto"/>
        </w:rPr>
        <w:t xml:space="preserve">egularly </w:t>
      </w:r>
      <w:r>
        <w:rPr>
          <w:rFonts w:ascii="Arial" w:cs="Arial" w:eastAsia="Arial" w:hAnsi="Arial"/>
          <w:sz w:val="17"/>
          <w:szCs w:val="17"/>
          <w:u w:val="single" w:color="auto"/>
          <w:color w:val="auto"/>
        </w:rPr>
        <w:t>I</w:t>
      </w:r>
      <w:r>
        <w:rPr>
          <w:rFonts w:ascii="Arial" w:cs="Arial" w:eastAsia="Arial" w:hAnsi="Arial"/>
          <w:sz w:val="17"/>
          <w:szCs w:val="17"/>
          <w:color w:val="auto"/>
        </w:rPr>
        <w:t xml:space="preserve">nterspaced </w:t>
      </w:r>
      <w:r>
        <w:rPr>
          <w:rFonts w:ascii="Arial" w:cs="Arial" w:eastAsia="Arial" w:hAnsi="Arial"/>
          <w:sz w:val="17"/>
          <w:szCs w:val="17"/>
          <w:u w:val="single" w:color="auto"/>
          <w:color w:val="auto"/>
        </w:rPr>
        <w:t>S</w:t>
      </w:r>
      <w:r>
        <w:rPr>
          <w:rFonts w:ascii="Arial" w:cs="Arial" w:eastAsia="Arial" w:hAnsi="Arial"/>
          <w:sz w:val="17"/>
          <w:szCs w:val="17"/>
          <w:color w:val="auto"/>
        </w:rPr>
        <w:t xml:space="preserve">hort </w:t>
      </w:r>
      <w:r>
        <w:rPr>
          <w:rFonts w:ascii="Arial" w:cs="Arial" w:eastAsia="Arial" w:hAnsi="Arial"/>
          <w:sz w:val="17"/>
          <w:szCs w:val="17"/>
          <w:u w:val="single" w:color="auto"/>
          <w:color w:val="auto"/>
        </w:rPr>
        <w:t>P</w:t>
      </w:r>
      <w:r>
        <w:rPr>
          <w:rFonts w:ascii="Arial" w:cs="Arial" w:eastAsia="Arial" w:hAnsi="Arial"/>
          <w:sz w:val="17"/>
          <w:szCs w:val="17"/>
          <w:color w:val="auto"/>
        </w:rPr>
        <w:t xml:space="preserve">alindromic </w:t>
      </w:r>
      <w:r>
        <w:rPr>
          <w:rFonts w:ascii="Arial" w:cs="Arial" w:eastAsia="Arial" w:hAnsi="Arial"/>
          <w:sz w:val="17"/>
          <w:szCs w:val="17"/>
          <w:u w:val="single" w:color="auto"/>
          <w:color w:val="auto"/>
        </w:rPr>
        <w:t>R</w:t>
      </w:r>
      <w:r>
        <w:rPr>
          <w:rFonts w:ascii="Arial" w:cs="Arial" w:eastAsia="Arial" w:hAnsi="Arial"/>
          <w:sz w:val="17"/>
          <w:szCs w:val="17"/>
          <w:color w:val="auto"/>
        </w:rPr>
        <w:t xml:space="preserve">epeats (“CRISPR”)/CRISPR associated 9 (“Cas9”), is a technology for genome editing, the process of altering selected sequences of genomic deoxyribonucleic acid (“DNA”). To fully realize the transformative potential of CRISPR/Cas9, we are pursuing two primary approaches.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programs use intravenously administered CRISPR as the therapy, in which our proprietary delivery technology enables highly precise editing of disease-causing genes directly within specific target tissues.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programs use CRISPR to create the therapy by using engineered human cells to treat cancer and autoimmune diseases. Our deep scientific, technical and clinical development experience, along with our robust intellectual property (“IP”) portfolio, enables us to unlock broad therapeutic applications of CRISPR/Cas9 to create new classes of genetic medicine.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upon our unaudited condensed consolidated financial statements included in this Quarterly Report on Form 10-Q, which have been prepared by us in accordance with accounting principles generally accepted in the United States of America (“U.S. GAAP”) for interim periods and with Regulation S-X, promulgated under the Securities Exchange Act of 1934, as amended. This discussion and analysis should be read in conjunction with the unaudited condensed consolidated financial statements and the notes thereto included elsewhere in this Quarterly Report on Form 10-Q as well as in conjunction with the audited financial statements and notes thereto included in our Annual Report on Form 10-K (“Annual Report”) for the year ended December 31, 2020.</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mission is to transform the lives of people with severe diseases by developing curative genome editing treatments. We believe we can deliver on our mission and provide long-term benefits for all of our stakeholders by focusing on four key elements:</w:t>
      </w:r>
    </w:p>
    <w:p>
      <w:pPr>
        <w:spacing w:after="0" w:line="62" w:lineRule="exact"/>
        <w:rPr>
          <w:sz w:val="20"/>
          <w:szCs w:val="20"/>
          <w:color w:val="auto"/>
        </w:rPr>
      </w:pPr>
    </w:p>
    <w:p>
      <w:pPr>
        <w:ind w:left="1060" w:hanging="52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curative CRISPR/Cas9-based medicines;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our science;</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the best place to make therapies; and</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Focus on long-term sustainability.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 xml:space="preserve">Our strategy is to build a full-spectrum genome editing company, by leveraging our modular platform, to advance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therapies for diseases with high unmet need.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applications to address genetic diseases, we deploy CRISPR/Cas9 as the therapy that targets cells within the body. All of our revenue to date has been collaboration revenue. Since our inception and through June 30, 2021, we have raised an aggregate of approximately $1,166.1 million to fund our operations, of which $275.9 million was through our collaboration agreements, $170.5 million was from our initial public offering and concurrent private placements, $438.3 million was from follow-on public offerings, $196.5 million was from at-the-market offerings and $85.0 million was from the sale of convertible preferred stock.</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lead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candidate, NTLA-2001 for the treatment of transthyretin (“ATTR”) amyloidosis, is the first CRISPR/Cas9-based therapy candidate to be administered systemically, via intravenous infusion, for precision editing of a gene in a target tissue in humans. In parallel, we are developing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applications to address immuno-oncology and autoimmune diseases, where CRISPR/Cas9 is the tool that creates the engineered cell therapy. Our most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advanced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programs include a wholly owned T cell receptor (“TCR”)-T cell candidate, NTLA-5001 for the treatment of acute myeloid leukemia (“AML”), and a program with Novartis Institutes for BioMedical Research, Inc. (“Novartis”) to engineer hematopoietic stem cells (“HSCs”) for the treatment of sickle cell disease.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Pipeline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In Vivo </w:t>
      </w:r>
      <w:r>
        <w:rPr>
          <w:rFonts w:ascii="Arial" w:cs="Arial" w:eastAsia="Arial" w:hAnsi="Arial"/>
          <w:sz w:val="18"/>
          <w:szCs w:val="18"/>
          <w:b w:val="1"/>
          <w:bCs w:val="1"/>
          <w:i w:val="1"/>
          <w:iCs w:val="1"/>
          <w:u w:val="single" w:color="auto"/>
          <w:color w:val="auto"/>
        </w:rPr>
        <w:t>Programs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selection criteria include identifying diseases that originate in the liver; have well-defined mutations that can be addressed by a single knockout, repair or insertion approach; have readily measurable therapeutic endpoints with observable clinical responses; and for which effective treatments are absent, limited or unduly burdensome. Our initial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indications target genetic liver diseases, including our ATTR amyloidosis and hereditary angioedema (“HAE”) development programs. Our current efforts 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delivery focus on the use of lipid nanoparticles (“LNPs”) for delivery of the CRISPR/Cas9 complex to the liver.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Transthyretin (“ATTR”) Amyloidosis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ATTR amyloidosis is a progressive and fatal disorder resulting from deposition of insoluble amyloid fibrils into multiple organs and tissues leading to systemic failure. Blood-borne transthyretin (“TTR”) protein is produced by hepatocytes and normally circulates as a soluble homotetramer that facilitates transport of vitamin A, via retinol binding protein, as well as the thyroid hormone, thyroxine. Mutations in the </w:t>
      </w:r>
      <w:r>
        <w:rPr>
          <w:rFonts w:ascii="Arial" w:cs="Arial" w:eastAsia="Arial" w:hAnsi="Arial"/>
          <w:sz w:val="17"/>
          <w:szCs w:val="17"/>
          <w:i w:val="1"/>
          <w:iCs w:val="1"/>
          <w:color w:val="auto"/>
        </w:rPr>
        <w:t>TTR</w:t>
      </w:r>
      <w:r>
        <w:rPr>
          <w:rFonts w:ascii="Arial" w:cs="Arial" w:eastAsia="Arial" w:hAnsi="Arial"/>
          <w:sz w:val="17"/>
          <w:szCs w:val="17"/>
          <w:color w:val="auto"/>
        </w:rPr>
        <w:t xml:space="preserve"> gene lead to the production of TTR proteins that are destabilized in their tetramer form. These tetramers more readily dissociate into the monomeric form, and thence to an aggregative form that results in amyloid deposits in tissues. These deposits cause damage in those tissues, resulting in a disorder known as hereditary TTR amyloidosis (“ATTRv”). Over 120 different genetic mutations are currently known to cause ATTRv.</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Deposits of TTR amyloid in the heart, nerves and/or other tissues can lead to diverse disease manifestations, including two main hereditary forms – ATTRv with polyneuropathy (“ATTRv-PN”) and ATTRv with cardiomyopathy (“ATTRv-CM”). Typical onset of disease symptoms is during adulthood and can be fatal within two to 15 years. Estimates suggest that approximately 50,000 patients suffer from ATTRv worldwide.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addition to the hereditary forms described above, ATTR amyloidosis can also develop spontaneously in the absence of any </w:t>
      </w:r>
      <w:r>
        <w:rPr>
          <w:rFonts w:ascii="Arial" w:cs="Arial" w:eastAsia="Arial" w:hAnsi="Arial"/>
          <w:sz w:val="18"/>
          <w:szCs w:val="18"/>
          <w:i w:val="1"/>
          <w:iCs w:val="1"/>
          <w:color w:val="auto"/>
        </w:rPr>
        <w:t>TTR</w:t>
      </w:r>
      <w:r>
        <w:rPr>
          <w:rFonts w:ascii="Arial" w:cs="Arial" w:eastAsia="Arial" w:hAnsi="Arial"/>
          <w:sz w:val="18"/>
          <w:szCs w:val="18"/>
          <w:color w:val="auto"/>
        </w:rPr>
        <w:t xml:space="preserve"> gene mutation. This wild-type ATTR (“ATTRwt”) is increasingly being recognized as a significant and often undiagnosed cause of heart failure in the elderly and is the subject of active investigation. Recent estimates suggest that, globally, between 200,000 and 500,000 people may suffer from ATTRwt with cardiomyopathy (“ATTRwt-CM”).</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non-human primate (“NHP”) studies, we have demonstrated our ability to reduce circulating TTR protein to estimated therapeutically relevant levels after a single systemic administration of LNPs containing our CRISPR/Cas9 complex. In December 2019, we completed a year-long durability study of our lead LNP formulation, maintaining an average reduction of more than 95% of serum TTR protein after a single dose in NHPs. The data from our various NHP studies has shown that following editing, our proprietary modular LNP delivery system is rapidly cleared from circulation, such that exposure to components is transient and all CRISPR/Cas9 complex is undetectable in blood within 14 days of administration.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About the NTLA-2001 Clinical Program</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November 2020, we announced that the first patient had been dosed with NTLA-2001, our lead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genome editing candidate which we are developing as a single-dose treatment for ATTR amyloidosis, in our Phase 1 study. We are conducting our Phase 1 study to evaluate NTLA-2001 for ATTRv-PN patients. Our first patient was dosed in the United Kingdom (“U.K.”) pursuant to authorization of our Clinical Trial Application (“CTA”), which was received from the U.K.’s Medicines and Healthcare products Regulatory Agency in October 2020. In November 2020, as part of our ongoing Phase 1 study for NTLA-2001, we received a second CTA authorization from New Zealand’s Medicines and Medical Device Safety Authority to enroll ATTR amyloidosis patients at a clinical site. As part of our ongoing development strategy, we are submitting additional regulatory applications in other countries. In March 2021, we announced that the European Commission (“EC”) granted orphan drug designation to NTLA-2001.</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global Phase 1 trial is an open-label, multi-center, two-part study of NTLA-2001 in adults with ATTRv-PN. The trial’s primary objectives are to assess the safety, tolerability, pharmacokinetics and pharmacodynamics of NTLA-2001. Patients receive a single dose of NTLA-2001 via intravenous administration. The study will enroll up to 38 participants (ages 18-80 years) and consist of a single-ascending dose phase in Part 1 and, following the identification of a recommended dose, an expansion cohort in Part 2.</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26, 2021, at the Peripheral Nerve Society (“PNS”) Annual Meeting and in the New England Journal of Medicine, we publicly disclosed positive interim data from our ongoing Phase 1 clinical study of NTLA-2001. The interim data cover the first six ATTRv-PN patients across two single-ascending dose cohorts of the Phase 1 study, which is currently being conducted in the U.K. and New Zealand. Single doses of either 0.1 mg/kg or 0.3 mg/kg of NTLA-2001 were administered systemically. Reductions in serum TTR levels were measured from baseline to day 28. Treatment with NTLA-2001 led to dose-dependent reductions in serum TTR, with mean reductions of 52% among the three patients in the 0.1 mg/kg dose group, and 87% among the three patients in the 0.3 mg/kg dose group, including one patient with a 96% reduction.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both dose levels, NTLA-2001 was generally well-tolerated by the six patients included in the interim analysis, with no serious adverse events, or abnormal coagulation or liver findings by day 28. Given the safety and tolerability profile observed to date, NTLA-2001 is continuing to be evaluated in the dose-escalation portion of the study, to determine if a higher dose could result in a deeper reduction in disease-causing protein levels leading to the potential for more meaningful clinical benefit. For the third cohort in the dose-escalation portion, we will be evaluating NTLA-2001 at the 1 mg/kg dose level. Following the identification of a recommended dose in the dose-escalation portion of the study, we expect to begin a single-dose expansion cohort in Part 2 of the Phase 1 trial later this year. After completion of the Phase 1 trial, we plan to move to pivotal studies for both polyneuropathy and cardiomyopathy manifestations of ATTR amyloidosis. We intend to present additional interim data for the dose-escalation portion of the Phase 1 study at a scientific or medical meeting this year.</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NTLA-2001 is part of a co-development and co-promotion (“Co/Co”) agreement directed to our first collaboration target with Regeneron Pharmaceuticals, Inc. (“Regeneron”), ATTR (the “ATTR Co/Co”), for which we are the clinical and commercial lead party and Regeneron is the participating party. Regeneron shares in approximately 25% of worldwide development costs and commercial profits for the ATTR amyloidosis program. For more information regarding our collaboration with Regeneron, see the section below entitled “</w:t>
      </w:r>
      <w:r>
        <w:rPr>
          <w:rFonts w:ascii="Arial" w:cs="Arial" w:eastAsia="Arial" w:hAnsi="Arial"/>
          <w:sz w:val="17"/>
          <w:szCs w:val="17"/>
          <w:b w:val="1"/>
          <w:bCs w:val="1"/>
          <w:color w:val="auto"/>
        </w:rPr>
        <w:t>Collaborations -</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Regeneron</w:t>
      </w:r>
      <w:r>
        <w:rPr>
          <w:rFonts w:ascii="Arial" w:cs="Arial" w:eastAsia="Arial" w:hAnsi="Arial"/>
          <w:sz w:val="17"/>
          <w:szCs w:val="17"/>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Hereditary Angioedema (“HAE”)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HAE is a rare genetic disorder characterized by recurrent, painful and unpredictable episodes of severe swelling. The most common areas of the body to develop swelling are the limbs, face, intestinal tract and airway. Minor trauma or stress may trigger an attack but swelling often occurs without a known trigger. Episodes involving the intestinal tract cause severe abdominal pain, nausea and vomiting. Swelling in the airway can restrict breathing and lead to life-threatening obstruction of the airway. The disease is caused by increased levels of bradykinin, a protein which leads to swelling. Most patients with HAE have a deficiency of C1 esterase inhibitor (“C1-INH”) protein, which normally prevents the unregulated release and buildup of bradykinin. HAE is estimated to affect 1 in 50,000 people, with an estimated 11,000 to 21,500 diagnosed HAE patients in the U.S. and Europe.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spacing w:after="0" w:line="301" w:lineRule="auto"/>
        <w:rPr>
          <w:sz w:val="20"/>
          <w:szCs w:val="20"/>
          <w:color w:val="auto"/>
        </w:rPr>
      </w:pPr>
      <w:r>
        <w:rPr>
          <w:rFonts w:ascii="Arial" w:cs="Arial" w:eastAsia="Arial" w:hAnsi="Arial"/>
          <w:sz w:val="16"/>
          <w:szCs w:val="16"/>
          <w:color w:val="auto"/>
        </w:rPr>
        <w:t>Currently, there are multiple therapies approved to treat HAE, including acute and prophylactic approaches. Acute treatments are used to treat patients who are experiencing an attack. Prophylactic treatments are used to reduce the number of attacks that a patient may experience. Prophylactic treatments have proven to be effective in reducing the number of attacks for most patients, though some patients still experience breakthrough attacks and such treatment options require regular injections that can be associated with significant treatment burden and impact on quality of life.</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Using our modular LNP delivery system, we aim to knock out the </w:t>
      </w:r>
      <w:r>
        <w:rPr>
          <w:rFonts w:ascii="Arial" w:cs="Arial" w:eastAsia="Arial" w:hAnsi="Arial"/>
          <w:sz w:val="17"/>
          <w:szCs w:val="17"/>
          <w:i w:val="1"/>
          <w:iCs w:val="1"/>
          <w:color w:val="auto"/>
        </w:rPr>
        <w:t>kallikrein B1 (“KLKB1”</w:t>
      </w:r>
      <w:r>
        <w:rPr>
          <w:rFonts w:ascii="Arial" w:cs="Arial" w:eastAsia="Arial" w:hAnsi="Arial"/>
          <w:sz w:val="17"/>
          <w:szCs w:val="17"/>
          <w:color w:val="auto"/>
        </w:rPr>
        <w:t xml:space="preserve">) gene with a single dose of treatment to permanently reduce the plasma kallikrein protein and activity and thereby ameliorate the frequency and intensity of HAE attacks. We expect our approach should eliminate the current, significant treatment burden for people living with HAE and minimize the risk of breakthrough attacks with extensive and continuous reduction in plasma kallikrein activity. We believe </w:t>
      </w:r>
      <w:r>
        <w:rPr>
          <w:rFonts w:ascii="Arial" w:cs="Arial" w:eastAsia="Arial" w:hAnsi="Arial"/>
          <w:sz w:val="17"/>
          <w:szCs w:val="17"/>
          <w:i w:val="1"/>
          <w:iCs w:val="1"/>
          <w:color w:val="auto"/>
        </w:rPr>
        <w:t>KLKB1</w:t>
      </w:r>
      <w:r>
        <w:rPr>
          <w:rFonts w:ascii="Arial" w:cs="Arial" w:eastAsia="Arial" w:hAnsi="Arial"/>
          <w:sz w:val="17"/>
          <w:szCs w:val="17"/>
          <w:color w:val="auto"/>
        </w:rPr>
        <w:t xml:space="preserve"> knockout to be safe, as humans with prekallikrein deficiency appear to have no known health effects. In addition, inhibition of kallikrein activity has proven to be clinically effective as a prophylactic treatment for HAE.</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NTLA-2002 is our wholly owned development candidate for the treatment of HAE. In March 2021, we presented preclinical results confirming greater reductions in serum kallikrein protein levels and activity versus the current standard of care for HAE, sustained over seventeen months following a single dose in an ongoing NHP study. Additionally, we presented data from a humanized KLKB1 mouse model of bradykinin-mediated vascular permeability, establishing that a single administration of NTLA-2002 prevented captopril-induced vascular leakage. These results affirm NTLA-2002’s therapeutic hypothesis of preventing HAE attacks. In June 2021, we submitted a CTA for NTLA-2002 to the New Zealand Medicines and Medical Devises Safety Authority to initiate our Phase 1 study. We plan to enroll our first patient in the Phase 1 study by year-end and we are also submitting additional regulatory applications to enable enrollment in other countries.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Vivo </w:t>
      </w:r>
      <w:r>
        <w:rPr>
          <w:rFonts w:ascii="Arial" w:cs="Arial" w:eastAsia="Arial" w:hAnsi="Arial"/>
          <w:sz w:val="18"/>
          <w:szCs w:val="18"/>
          <w:b w:val="1"/>
          <w:bCs w:val="1"/>
          <w:i w:val="1"/>
          <w:iCs w:val="1"/>
          <w:color w:val="auto"/>
        </w:rPr>
        <w:t>Research Programs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continue to work on various liver-focused programs, such as hemophilia A and hemophilia B, which we are co-developing with Regeneron, primary hyperoxaluria type 1, alpha-1 antitrypsin deficiency, as well as other liver targets, which are worked on both independently and in partnership with Regeneron, which leverage our capabilities to knockout, insert and make consecutive edits to the genome. In September 2020, we presented data that showed the persistence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CRISPR/Cas9 edits in regenerated liver tissue, both knockout and insertion, and corresponding durability of effect following a partial hepatectomy (“PHx”) and liver regrowth in a murine model. Unlike traditional gene therapy, for which a significant loss (over 80%) in transgene expression was observed in the insertion PHx model, our targeted gene insertion approach yielded durable edits, with no significant loss in expression.</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we have developed combination approaches for delivering the editing machinery by LNP, and the repair and insertion templates by adeno-associated virus (“AAV”) vectors. For example, at the Alpha-1 Foundation’s 20</w:t>
      </w:r>
      <w:r>
        <w:rPr>
          <w:rFonts w:ascii="Arial" w:cs="Arial" w:eastAsia="Arial" w:hAnsi="Arial"/>
          <w:sz w:val="14"/>
          <w:szCs w:val="14"/>
          <w:color w:val="auto"/>
        </w:rPr>
        <w:t>th</w:t>
      </w:r>
      <w:r>
        <w:rPr>
          <w:rFonts w:ascii="Arial" w:cs="Arial" w:eastAsia="Arial" w:hAnsi="Arial"/>
          <w:sz w:val="17"/>
          <w:szCs w:val="17"/>
          <w:color w:val="auto"/>
        </w:rPr>
        <w:t xml:space="preserve"> Gordon L. Snider Critical Issues Workshop: The Promise of Gene-Based Interventions of Alpha-1 Antitrypsin Deficiency, we demonstrated expression of physiological protein levels of human alpha-1 antitrypsin (“AAT”) in NHPs following a single administration. Compared to traditional AAV gene therapy, our targeted liver gene insertion technology has the ability to achieve therapeutic levels of protein expression, in a stable and durable manner, after a single dose of treatment.</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We are further investigating delivery strategies that target tissues outside of the liver. For example, at the Keystone eSymposium: Precision Engineering of the Genome, Epigenome and Transcriptome in March 2021, we presented preclinical data establishing proof-of-concept for non-viral genome editing of bone marrow and HSCs in mice. This represented our first demonstration of systemic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genome editing in bone marrow using our proprietary non-viral delivery platform. These results extend our modular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capabilities to treat inherited blood disorders such as sickle cell disease.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Ex Vivo </w:t>
      </w:r>
      <w:r>
        <w:rPr>
          <w:rFonts w:ascii="Arial" w:cs="Arial" w:eastAsia="Arial" w:hAnsi="Arial"/>
          <w:sz w:val="18"/>
          <w:szCs w:val="18"/>
          <w:b w:val="1"/>
          <w:bCs w:val="1"/>
          <w:i w:val="1"/>
          <w:iCs w:val="1"/>
          <w:color w:val="auto"/>
        </w:rPr>
        <w:t>Programs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independently researching and developing proprietary engineered cell therapies to treat various oncological and other disease indications, for example TCR-engineered T cells and chimeric antigen receptor T (“CAR-T”) cells for immuno-oncology applications and engineered regulatory T cells for autoimmune disorders. Our diverse product strategy includes multiple elements. In particular:</w:t>
      </w:r>
    </w:p>
    <w:p>
      <w:pPr>
        <w:spacing w:after="0" w:line="76" w:lineRule="exact"/>
        <w:rPr>
          <w:sz w:val="20"/>
          <w:szCs w:val="20"/>
          <w:color w:val="auto"/>
        </w:rPr>
      </w:pPr>
    </w:p>
    <w:p>
      <w:pPr>
        <w:jc w:val="both"/>
        <w:ind w:left="1060" w:hanging="526"/>
        <w:spacing w:after="0" w:line="263"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developing TCR-engineered T cells as immuno-oncological therapies. For example, in our existing collaboration with Ospedale San Raffaele, Milan, a leading European research-university hospital, we have identified optimized TCRs that recognize a tumor target, Wilms’ Tumor 1 (“WT1”), that could be used to treat a variety of blood cancers and solid tumors;</w:t>
      </w:r>
    </w:p>
    <w:p>
      <w:pPr>
        <w:spacing w:after="0" w:line="75" w:lineRule="exact"/>
        <w:rPr>
          <w:rFonts w:ascii="Arial" w:cs="Arial" w:eastAsia="Arial" w:hAnsi="Arial"/>
          <w:sz w:val="18"/>
          <w:szCs w:val="18"/>
          <w:color w:val="auto"/>
        </w:rPr>
      </w:pPr>
    </w:p>
    <w:p>
      <w:pPr>
        <w:jc w:val="both"/>
        <w:ind w:left="1060" w:hanging="526"/>
        <w:spacing w:after="0" w:line="263"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seek to develop allogeneic cellular therapies, which are those derived from unmatched donors and modified outside of the human body to allow them to be administered to an unrelated patient. These therapies could be used to treat both oncological and immunological diseases; and</w:t>
      </w:r>
    </w:p>
    <w:p>
      <w:pPr>
        <w:spacing w:after="0" w:line="75"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also exploring methods to apply CRISPR/Cas9 editing to cluster of differentiation 4 (“CD4”) immune cells to induce a non-reverting regulatory T cell phenotype, to create therapies that address autoimmune diseases.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partner Novartis is developing therapies directed to selected targets using CAR-T cells for oncology indications, as well as HSC and ocular stem cell (“OSC”)-based therapies.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Acute Myeloid Leukemia (“AML”)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AML includes a heterogenous group of blood cancers arising from the malignant expansion of hematopoietic cells of the myeloid lineage. AML is associated with weakness, fatigue and bleeding resulting from the depletion of healthy myeloid cells, and is typically rapidly progressive and fatal without immediate treatment. AML is an aggressive and hard-to-treat cancer, resulting in less than 30% of patients living more than five years after diagnosis. AML is the most common acute leukemia in adults and is associated with the largest number of annual deaths from leukemia in the U.S. It is estimated that there were over 11,000 deaths due to AML, as well as nearly 20,000 new AML cases in the U.S. in 2020. While AML can occur at any age, the prevalence of the disease increases with age, resulting in a median age at diagnosis of 68 years.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Over the past several years, new treatments have emerged for AML with different mechanisms of action. While these treatments have led to improvements in response rates and in some cases increased overall survival, the outcomes demonstrated thus far have been incremental in nature and long-term outcomes in AML continue to be extremely poor.</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12529"/>
        </w:rPr>
        <w:t xml:space="preserve">NTLA-5001 is our engineered T cell therapy development candidate for the treatment of AML, utilizing our TCR-directed approach to target the WT1 intracellular antigen and restricted to the </w:t>
      </w:r>
      <w:r>
        <w:rPr>
          <w:rFonts w:ascii="Arial" w:cs="Arial" w:eastAsia="Arial" w:hAnsi="Arial"/>
          <w:sz w:val="17"/>
          <w:szCs w:val="17"/>
          <w:color w:val="000000"/>
        </w:rPr>
        <w:t>HLA-A*02:01 allele</w:t>
      </w:r>
      <w:r>
        <w:rPr>
          <w:rFonts w:ascii="Arial" w:cs="Arial" w:eastAsia="Arial" w:hAnsi="Arial"/>
          <w:sz w:val="17"/>
          <w:szCs w:val="17"/>
          <w:color w:val="212529"/>
        </w:rPr>
        <w:t>. As WT1 is overexpressed in &gt;90% of AML blasts, we are developing NTLA-5001 as a broadly applicable treatment for AML, regardless of mutational subtypes of a patient’s leukemia. This approach employs CRISPR/Cas9 complexes to knock out and replace the patient’s endogenous TCR with a natural, high avidity therapeutic TCR. The resulting cells are engineered to be capable of specific and potent killing of AML blasts without bone marrow cell toxicity. In December 2020, we presented data on NTLA-5001 highlighting the high anti-tumor activity observed in proof-of-concept mouse models of acute leukemias and the faster expansion and superior function of T cells manufactured by our proprietary approach, compared to T cells engineered with a standard genome editing process.</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212529"/>
        </w:rPr>
        <w:t>We recently submitted our first CTA to the U.K. Medicines and Healthcare products Regulatory Agency for NTLA-5001 to initiate a Phase 1 study. This first-in-human trial intends to evaluate safety and activity in patients with persistent or recurrent AML who have previously received first-line therapies.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 Vivo </w:t>
      </w:r>
      <w:r>
        <w:rPr>
          <w:rFonts w:ascii="Arial" w:cs="Arial" w:eastAsia="Arial" w:hAnsi="Arial"/>
          <w:sz w:val="18"/>
          <w:szCs w:val="18"/>
          <w:b w:val="1"/>
          <w:bCs w:val="1"/>
          <w:i w:val="1"/>
          <w:iCs w:val="1"/>
          <w:color w:val="auto"/>
        </w:rPr>
        <w:t>Research Programs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developing engineered cell therapies to treat a range of hematological and solid tumors. We are pursuing modalities, such as TCR, with broad potential in multiple indications. We continue to advance efforts to move from autologous to allogeneic therapies and from liquid to solid tumors. Our researchers are developing and improving cell-engineering manufacturing and delivery processes that, we believe, may allow us to deliver T cell therapies with high levels of editing, robust levels of cell expansion, desirable memory phenotypes, improved function and no translocations above background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levels. Our proprietary T cell engineering process enables multiple, sequential gene edits and is a significant improvement over standard engineering processes commonly used to introduce proteins and nucleic acids into cells. These platform advances support NTLA-5001 and other ongoing engineered cell research programs.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seventh annual Cold Spring Harbor Laboratory virtual scientific meeting in March 2021, we presented our first preclinical data set on our novel, proprietary cytosine deaminase base editor technology. We demonstrated the technology’s potential for enhanced cell engineering, with multiple simultaneous gene knockouts achieving &gt;90% T cell editing efficiency and no detectable increase in translocation above background levels.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Novartis-Led Sickle Cell Disease and Other Research Programs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2019, the research term under our collaboration agreement with Novartis entered into in 2014 (the “2014 Novartis Agreement”) ended, although the 2014 Novartis Agreement remains in effect. Under the 2014 Novartis Agreement, Novartis has selected particular CAR-T cell, HSC and OSC targets for continued development. Novartis has initiated clinical studies for OTQ923 and HIX763, two therapeutic candidates, based on CRISPR/Cas9 editing of HSCs, that resulted from our research collaboration with them. Novartis is currently recruiting patients for its Phase 1/2 study of these investigational candidates for treatment of sickle cell diseases. Novartis is developing several other product candidates arising from the 2014 Novartis Agreement. For more information regarding our collaboration with Novartis, see the section below entitled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Collaborations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Novartis”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accelerate the development and commercialization of CRISPR/Cas9-based products in multiple therapeutic areas, we have formed, and may seek other opportunities to form, strategic alliances with collaborators who can augment our leadership in CRISPR/Cas9 therapeutic development.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Regeneron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in Note 7, “Collaborations—Regeneron Pharmaceuticals, Inc.,” to our condensed consolidated financial statements appearing elsewhere in this Quarterly Report on Form 10-Q, in April 2016 we entered into a license and collaboration agreement with Regeneron (the “2016 Regeneron Agreement”). The 2016 Regeneron Agreement has two principal components: (i) a product development component under which the parties will research, develop and commercialize CRISPR/Cas-based therapeutic products primarily focused on genome editing in the liver; and (ii) a technology collaboration component, pursuant to which the parties will engage in research and development activities aimed at discovering and developing novel technologies and improvements to CRISPR/Cas technology to enhance our genome editing platform. Under the 2016 Regeneron Agreement, we also may access the Regeneron Genetics Center and proprietary mouse models to be provided by Regeneron for a limited number of our liver programs.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May 30, 2020, we entered into amendment no. 1 (the “2020 Regeneron Amendment”) to the 2016 Regeneron Agreement, pursuant to which we expanded the existing collaboration to co-develop potential products for the treatment of hemophilia A and hemophilia B. The collaboration expansion builds upon the jointly developed targeted transgene insertion capabilities designed to durably restore a missing therapeutic protein, and to overcome the limitations of traditional gene therapy. The collaboration was extended until April 2024, at which point Regeneron has an option to renew for an additional two years. The 2020 Regeneron Amendment also grants Regeneron exclusive rights to develop products for five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CRISPR/Cas-based therapeutic liver targets and non-exclusive rights to independently develop and commercialize up to 10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edited products made using certain defined cell types.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Through June 30, 2021, excluding the amounts allocated to Regeneron’s purchase of our common stock, we have recorded $145.0 million in upfront payments under the 2016 Regeneron Agreement and the 2020 Regeneron Amendment (the “Amended Agreements”) and $35.6 million for research and development services, primarily under the ATTR Co/Co agreement, as described in Note 7 to our condensed consolidated financial statements appearing elsewhere in this Quarterly Report on Form 10-Q. Through June 30, 2021, we have recognized $135.2 million of collaboration revenue under all arrangements, including $5.5 million and $12.0 million during the three and six months ended June 30, 2021, respectively, and $16.3 million and $24.2 million during the three and six months ended June 30, 2020, respectively, in the condensed consolidated statements of operations and comprehensive loss. This includes $1.0 million and $1.8 million during the three and six months ended June 30, 2021, respectively, and $3.8 million and $8.6 million during the three and six months ended June 30, 2020, respectively, primarily representing payments due from Regeneron pursuant to the ATTR Co/Co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jc w:val="both"/>
        <w:spacing w:after="0" w:line="301" w:lineRule="auto"/>
        <w:rPr>
          <w:sz w:val="20"/>
          <w:szCs w:val="20"/>
          <w:color w:val="auto"/>
        </w:rPr>
      </w:pPr>
      <w:r>
        <w:rPr>
          <w:rFonts w:ascii="Arial" w:cs="Arial" w:eastAsia="Arial" w:hAnsi="Arial"/>
          <w:sz w:val="16"/>
          <w:szCs w:val="16"/>
          <w:color w:val="auto"/>
        </w:rPr>
        <w:t xml:space="preserve">which is accounted for under Accounting Standards Codification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These revenues are offset in part by contra-revenue related to the Hemophilia Co/Co agreements amounting to $1.0 million during the three and six months ended June 30, 2021, respectively. As of June 30, 2021 and December 31, 2020, we had accounts receivable of $1.0 million and $2.1 million, respectively, related to these arrangements. We had deferred revenue of $62.8 million and $73.9 million as of June 30, 2021 and December 31, 2020, respectively, related to these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Novartis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described in Note 7, “Collaborations—Novartis Institutes for BioMedical Research, Inc.,” to our condensed consolidated financial statements appearing elsewhere in this Quarterly Report on Form 10-Q, in December 2014, we entered into a strategic collaboration agreement with Novartis (the “2014 Novartis Agreement”), primarily focused on the development of new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CRISPR/Cas9-edited therapies using CAR-T cells and HSCs. The agreement was amended in December 2018 (the “Novartis Amendment”) to also include research on OSCs.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2019, per the terms of the 2014 Novartis Agreement, the research term ended, although the 2014 Novartis Agreement remains in effect, for which we will be eligible to receive milestone and royalty payments in the future. In June 2021, we entered into Amendment No. 3 (the “Amendment”) to the 2014 Novartis Agreement. The Amendment amends Novartis’ rights with respect to all the CAR-T Therapeutic Targets (as defined in the 2014 Novartis Agreement) that Novartis selected under the 2014 Novartis Agreement, including (a) making Novartis’ license non-exclusive for such CAR-T Therapeutic Targets, (b) removing Novartis’ diligence and related reporting obligations for such CAR-T Therapeutic Targets, and (c) refining the scope of Novartis’ sublicense rights for such CAR-T Therapeutic Targets. We made a one-time payment to Novartis of $10.0 million within 30 days after the effective date of the Amendment, which was recorded as research and development expense in the condensed consolidated statements of operations and comprehensive loss for the three and six months ended June 30, 2021. Since December 31, 2020, there have been no other material changes to the key terms of the 2014 Novartis Agreement and the Novartis Amendment. For further information on the terms and conditions of these agreements, please see the notes to the consolidated financial statements included in our Annual Report for the year ended December 31, 2020.</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Revenue Recognition – Milestone</w:t>
      </w:r>
      <w:r>
        <w:rPr>
          <w:rFonts w:ascii="Arial" w:cs="Arial" w:eastAsia="Arial" w:hAnsi="Arial"/>
          <w:sz w:val="17"/>
          <w:szCs w:val="17"/>
          <w:color w:val="auto"/>
        </w:rPr>
        <w:t>. In March 2020, the U.S. Food and Drug Administration (“FDA”) accepted the investigational new drug</w:t>
      </w:r>
      <w:r>
        <w:rPr>
          <w:rFonts w:ascii="Arial" w:cs="Arial" w:eastAsia="Arial" w:hAnsi="Arial"/>
          <w:sz w:val="17"/>
          <w:szCs w:val="17"/>
          <w:i w:val="1"/>
          <w:iCs w:val="1"/>
          <w:color w:val="auto"/>
        </w:rPr>
        <w:t xml:space="preserve"> </w:t>
      </w:r>
      <w:r>
        <w:rPr>
          <w:rFonts w:ascii="Arial" w:cs="Arial" w:eastAsia="Arial" w:hAnsi="Arial"/>
          <w:sz w:val="17"/>
          <w:szCs w:val="17"/>
          <w:color w:val="auto"/>
        </w:rPr>
        <w:t>(“IND”) application submitted by Novartis for a CRISPR/Cas9-based engineered cell therapy for the treatment of sickle cell disease. As a result of meeting this milestone, we recognized $5.0 million as collaboration revenue within the condensed consolidated statement of operations and comprehensive loss. No other milestones under the 2014 Novartis Agreement and the Novartis Amendment were achieved during the six months ended June 30, 2021 or 2020. We are eligible to receive additional downstream success-based milestones and royalties.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and December 31, 2020, we had no accounts receivable or deferred revenue related to the 2014 Novartis Agreement and related amendments.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CAR T-Cell Therapy Company</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22, 2021, we announced that we have entered into an agreement with Cellex Cell Professionals GmbH (“Cellex”) and funds managed by Blackstone Life Sciences Advisors L.L.C. (“BXLS”) to establish a new CAR-T cell therapy company (“NewCo”) that will be focused on the development of allogeneic universal CAR-T cell therapies for immuno-oncology and autoimmune diseases. The new company will be headquartered in Cambridge, Massachusetts and will acquire Cellex’s subsidiary GEMoaB GmbH (“GEMoaB”), with established offices and labs in Dresden, Germany. The new company will have an exclusive license to Intellia’s CRISPR/Cas9 allogeneic cell engineering platform limited to its use with GEMoaB’s switchable, universal CAR-T cell platforms (UniCAR and RevCAR). As a subsidiary of the new company, GEMoaB will continue to advance its clinical stage, autologous CAR-T cell therapy programs. Funds managed by BXLS have committed up to $250 million to the transaction and with us and Cellex (and certain related entities) have equal ownership of the new company at the time of the initial closing. The transaction closed in the third quarter of 2021.</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July 2021, we entered into a license and collaboration agreement with NewCo, under which we will collaborate to develop allogeneic universal CAR-T cell therapies, as well as a co-development and co-funding (“Co/Co”) agreement to co-develop an allogeneic universal CAR-T cell product for an immuno-oncology indication, which the parties will co-commercialize in the U.S. and key European countries. We will have one additional option to enter into a second Co/Co agreement from selected allogeneic universal CAR-T cell therapy products that the parties will develop under the collaboration.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revenue consists of collaboration revenue, including amounts recognized related to upfront technology access payments for licenses, technology access fees, research funding and milestone payments earned under our collaboration and license agreements with Regeneron and Novartis.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consist of expenses incurred in performing research and development activities, such as compensation and benefits, which includes equity-based compensation, for full-time research and development employees, allocated facility-related expenses, overhead expenses, license and milestone fees, contract research, development and manufacturing services, and other related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consist primarily of compensation and benefits, including equity-based compensation, for our executive, finance, legal, business development and support functions. Also included in general and administrative expenses are allocated facility-related costs not otherwise included in research and development expenses, travel expenses and professional fees for auditing, tax and legal services, including IP-related legal services, and other consulting fees and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is income earned on our cash, cash equivalents, restricted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of the financial condition and results of operations should be read in conjunction with the accompanying condensed consolidated financial statements and the related footnotes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June 30, 2021 and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Period-to-</w:t>
            </w:r>
          </w:p>
        </w:tc>
      </w:tr>
      <w:tr>
        <w:trPr>
          <w:trHeight w:val="155"/>
        </w:trPr>
        <w:tc>
          <w:tcPr>
            <w:tcW w:w="4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5"/>
              </w:rPr>
              <w:t>Period Change</w:t>
            </w:r>
          </w:p>
        </w:tc>
      </w:tr>
      <w:tr>
        <w:trPr>
          <w:trHeight w:val="223"/>
        </w:trPr>
        <w:tc>
          <w:tcPr>
            <w:tcW w:w="44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(9,713)</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21,113</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11,526</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Borders>
              <w:bottom w:val="single" w:sz="8" w:color="CFF0FC"/>
            </w:tcBorders>
          </w:tcPr>
          <w:p>
            <w:pPr>
              <w:spacing w:after="0"/>
              <w:rPr>
                <w:sz w:val="19"/>
                <w:szCs w:val="19"/>
                <w:color w:val="auto"/>
              </w:rPr>
            </w:pPr>
          </w:p>
        </w:tc>
      </w:tr>
      <w:tr>
        <w:trPr>
          <w:trHeight w:val="223"/>
        </w:trPr>
        <w:tc>
          <w:tcPr>
            <w:tcW w:w="4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26,270</w:t>
            </w: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Operating loss</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(69,017)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(33,034)</w:t>
            </w: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(35,983)</w:t>
            </w: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(430)</w:t>
            </w: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2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(36,413)</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Collaboration revenue decreased by $9.7 million to $6.6 million during the three months ended June 30, 2021, as compared to $16.3 million during the three months ended June 30, 2020. The decrease in collaboration revenue during the three months ended June 30, 2021 is primarily caused by an $8.4 million one-time cumulative catch-up adjustment related to the modification of the 2016 Regeneron Agreement recorded in 2020. Refer to Note 7 to our condensed consolidated financial statements appearing elsewhere in this Quarterly Report on Form 10-Q for further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increased by $21.1 million to $58.9 million during the three months ended June 30, 2021, as compared to $37.8 million during the three months ended June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the three months ended June 30, 2021 and 2020, together with the changes in those items in dollars (in thousands) and the respective percentages of change: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8"/>
              </w:rPr>
              <w:t>Three Months Ended June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Period-to-</w:t>
            </w: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3"/>
              </w:rPr>
              <w:t>Period Change</w:t>
            </w:r>
          </w:p>
        </w:tc>
        <w:tc>
          <w:tcPr>
            <w:tcW w:w="132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development expenses by program:</w:t>
            </w:r>
          </w:p>
        </w:tc>
        <w:tc>
          <w:tcPr>
            <w:tcW w:w="1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NTLA-2001</w:t>
            </w:r>
          </w:p>
        </w:tc>
        <w:tc>
          <w:tcPr>
            <w:tcW w:w="1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4,280</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(1,033)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NTLA-2002</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Arial" w:cs="Arial" w:eastAsia="Arial" w:hAnsi="Arial"/>
                <w:sz w:val="18"/>
                <w:szCs w:val="18"/>
                <w:color w:val="auto"/>
              </w:rPr>
              <w:t>NTLA-5001</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1,279</w:t>
            </w: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Employee-related expenses</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15,635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10,303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5,332</w:t>
            </w: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materials and contracted services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Facility-related expenses</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6,778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1,928</w:t>
            </w: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3,745</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58,884</w:t>
            </w:r>
          </w:p>
        </w:tc>
        <w:tc>
          <w:tcPr>
            <w:tcW w:w="2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37,771</w:t>
            </w:r>
          </w:p>
        </w:tc>
        <w:tc>
          <w:tcPr>
            <w:tcW w:w="2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21,113</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research and development expenses for the three months ended June 30, 2021 compared to the three months ended June 30, 2020 was primarily attributable to:</w:t>
      </w:r>
    </w:p>
    <w:p>
      <w:pPr>
        <w:spacing w:after="0" w:line="62" w:lineRule="exact"/>
        <w:rPr>
          <w:sz w:val="20"/>
          <w:szCs w:val="20"/>
          <w:color w:val="auto"/>
        </w:rPr>
      </w:pPr>
    </w:p>
    <w:p>
      <w:pPr>
        <w:ind w:left="1060" w:hanging="52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 million decrease in external costs related to the development of NTLA-2001, our lead product candidate, primarily due to a decrease in contracted services and manufactured components incurred as compared to the prior period;</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$0.1 million increase in external costs related to the development of NTLA-2002, primarily due to an increase in components as we prepare to enter into the clinic;</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$1.3 million increase in external costs related to the development of NTLA-5001, primarily due to an increase in contracted services as we prepare to enter into the clinic;</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$5.3 million increase in employee-related expenses driven by the expansion of our development organization;</w:t>
      </w:r>
    </w:p>
    <w:p>
      <w:pPr>
        <w:spacing w:after="0" w:line="130"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$9.2 million increase in research materials and contracted services primarily related to a $10.0 million one-time payment related to the amendment of the 2014 Novartis Agreement;</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$1.9 million increase in facility-related expenses primarily related to rent, depreciation and technology expense allocated to research and development; and</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$3.7 million increase in stock-based compensation driven by our larger workforce and stock valuation.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by $5.2 million to $16.7 million during the three months ended June 30, 2021, compared to $11.5 million during the three months ended June 30, 2020. This increase was primarily related to employee-related expenses, including stock-based compensation of $2.1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by $0.4 million to $0.2 million during the three months ended June 30, 2021 as compared to $0.6 million during the three months ended June 30, 2020. This decrease was due to a decline in investment income due to overall market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Comparison of Six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767"/>
              <w:spacing w:after="0"/>
              <w:rPr>
                <w:sz w:val="20"/>
                <w:szCs w:val="20"/>
                <w:color w:val="auto"/>
              </w:rPr>
            </w:pPr>
            <w:r>
              <w:rPr>
                <w:rFonts w:ascii="Arial" w:cs="Arial" w:eastAsia="Arial" w:hAnsi="Arial"/>
                <w:sz w:val="14"/>
                <w:szCs w:val="14"/>
                <w:b w:val="1"/>
                <w:bCs w:val="1"/>
                <w:color w:val="auto"/>
                <w:w w:val="98"/>
              </w:rPr>
              <w:t>Six Months Ended June 30,</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Period-to-</w:t>
            </w:r>
          </w:p>
        </w:tc>
      </w:tr>
      <w:tr>
        <w:trPr>
          <w:trHeight w:val="155"/>
        </w:trPr>
        <w:tc>
          <w:tcPr>
            <w:tcW w:w="4220" w:type="dxa"/>
            <w:vAlign w:val="bottom"/>
          </w:tcPr>
          <w:p>
            <w:pPr>
              <w:spacing w:after="0"/>
              <w:rPr>
                <w:sz w:val="13"/>
                <w:szCs w:val="13"/>
                <w:color w:val="auto"/>
              </w:rPr>
            </w:pPr>
          </w:p>
        </w:tc>
        <w:tc>
          <w:tcPr>
            <w:tcW w:w="1280" w:type="dxa"/>
            <w:vAlign w:val="bottom"/>
          </w:tcPr>
          <w:p>
            <w:pPr>
              <w:jc w:val="right"/>
              <w:ind w:right="16"/>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right"/>
              <w:ind w:right="247"/>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Period Change</w:t>
            </w:r>
          </w:p>
        </w:tc>
      </w:tr>
      <w:tr>
        <w:trPr>
          <w:trHeight w:val="223"/>
        </w:trPr>
        <w:tc>
          <w:tcPr>
            <w:tcW w:w="422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80" w:type="dxa"/>
            <w:vAlign w:val="bottom"/>
            <w:shd w:val="clear" w:color="auto" w:fill="CFF0FC"/>
          </w:tcPr>
          <w:p>
            <w:pPr>
              <w:jc w:val="right"/>
              <w:ind w:right="109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12,995</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3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29,179</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(16,184)</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98,160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72,421</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25,739</w:t>
            </w:r>
          </w:p>
        </w:tc>
        <w:tc>
          <w:tcPr>
            <w:tcW w:w="100" w:type="dxa"/>
            <w:vAlign w:val="bottom"/>
            <w:shd w:val="clear" w:color="auto" w:fill="CFF0FC"/>
          </w:tcPr>
          <w:p>
            <w:pPr>
              <w:spacing w:after="0"/>
              <w:rPr>
                <w:sz w:val="19"/>
                <w:szCs w:val="19"/>
                <w:color w:val="auto"/>
              </w:rPr>
            </w:pPr>
          </w:p>
        </w:tc>
      </w:tr>
      <w:tr>
        <w:trPr>
          <w:trHeight w:val="230"/>
        </w:trPr>
        <w:tc>
          <w:tcPr>
            <w:tcW w:w="4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22,840</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w:t>
            </w:r>
          </w:p>
        </w:tc>
        <w:tc>
          <w:tcPr>
            <w:tcW w:w="100" w:type="dxa"/>
            <w:vAlign w:val="bottom"/>
            <w:tcBorders>
              <w:bottom w:val="single" w:sz="8" w:color="CFF0FC"/>
            </w:tcBorders>
          </w:tcPr>
          <w:p>
            <w:pPr>
              <w:spacing w:after="0"/>
              <w:rPr>
                <w:sz w:val="19"/>
                <w:szCs w:val="19"/>
                <w:color w:val="auto"/>
              </w:rPr>
            </w:pPr>
          </w:p>
        </w:tc>
      </w:tr>
      <w:tr>
        <w:trPr>
          <w:trHeight w:val="223"/>
        </w:trPr>
        <w:tc>
          <w:tcPr>
            <w:tcW w:w="4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128,437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95,261</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33,176</w:t>
            </w: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Operating loss</w:t>
            </w:r>
          </w:p>
        </w:tc>
        <w:tc>
          <w:tcPr>
            <w:tcW w:w="12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(115,442)</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(66,082)</w:t>
            </w:r>
          </w:p>
        </w:tc>
        <w:tc>
          <w:tcPr>
            <w:tcW w:w="3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(49,360)</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(1,452)</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128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13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(64,199)</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(50,812)</w:t>
            </w:r>
          </w:p>
        </w:tc>
        <w:tc>
          <w:tcPr>
            <w:tcW w:w="10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Collaboration revenue decreased by $16.2 million to $13.0 million during the six months ended June 30, 2021, as compared to $29.2 million during the six months ended June 30, 2020. The decrease in collaboration revenue during the six months ended June 30, 2021 is primarily caused by an $8.4 million one-time cumulative catch-up adjustment related to the modification of the 2016 Regeneron Agreement and a $5.0 million milestone payment earned from Novartis for the IND submission of OTQ923, both of which were recorded in the first six months of 2020. Refer to Note 7 to our condensed consolidated financial statements appearing elsewhere in this Quarterly Report on Form 10-Q for further details.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increased by $25.7 million to $98.2 million during the six months ended June 30, 2021, as compared to $72.4 million during the six months ended June 30,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the six months ended June 30, 2021 and 2020, together with the changes in those items in dollars (in thousands) and the respective percentages of change: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Period-to-</w:t>
            </w:r>
          </w:p>
        </w:tc>
        <w:tc>
          <w:tcPr>
            <w:tcW w:w="16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3"/>
                <w:szCs w:val="13"/>
                <w:color w:val="auto"/>
              </w:rPr>
            </w:pPr>
          </w:p>
        </w:tc>
        <w:tc>
          <w:tcPr>
            <w:tcW w:w="12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Period Change</w:t>
            </w:r>
          </w:p>
        </w:tc>
        <w:tc>
          <w:tcPr>
            <w:tcW w:w="168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development expenses by program:</w:t>
            </w:r>
          </w:p>
        </w:tc>
        <w:tc>
          <w:tcPr>
            <w:tcW w:w="5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NTLA-2001</w:t>
            </w:r>
          </w:p>
        </w:tc>
        <w:tc>
          <w:tcPr>
            <w:tcW w:w="146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6,602</w:t>
            </w:r>
          </w:p>
        </w:tc>
        <w:tc>
          <w:tcPr>
            <w:tcW w:w="12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12,359</w:t>
            </w: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(5,757)</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NTLA-2002</w:t>
            </w: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NTLA-5001</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9,252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5,073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4,179</w:t>
            </w:r>
          </w:p>
        </w:tc>
        <w:tc>
          <w:tcPr>
            <w:tcW w:w="2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5"/>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w:t>
            </w: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5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Employee-related expenses</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29,302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20,964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8,338</w:t>
            </w:r>
          </w:p>
        </w:tc>
        <w:tc>
          <w:tcPr>
            <w:tcW w:w="2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materials and contracted services</w:t>
            </w: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25,656</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16,173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9,483</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Facility-related expenses</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11,960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9,827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2,133</w:t>
            </w:r>
          </w:p>
        </w:tc>
        <w:tc>
          <w:tcPr>
            <w:tcW w:w="2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9,626</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5,076</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2,046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520" w:type="dxa"/>
            <w:vAlign w:val="bottom"/>
            <w:vMerge w:val="restart"/>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vMerge w:val="continue"/>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98,160</w:t>
            </w:r>
          </w:p>
        </w:tc>
        <w:tc>
          <w:tcPr>
            <w:tcW w:w="26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72,421</w:t>
            </w:r>
          </w:p>
        </w:tc>
        <w:tc>
          <w:tcPr>
            <w:tcW w:w="2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25,739</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research and development expenses for the six months ended June 30, 2021 compared to the six months ended June 30, 2020 was primarily attributable to:</w:t>
      </w:r>
    </w:p>
    <w:p>
      <w:pPr>
        <w:spacing w:after="0" w:line="62" w:lineRule="exact"/>
        <w:rPr>
          <w:sz w:val="20"/>
          <w:szCs w:val="20"/>
          <w:color w:val="auto"/>
        </w:rPr>
      </w:pPr>
    </w:p>
    <w:p>
      <w:pPr>
        <w:ind w:left="1060" w:hanging="52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$5.8 million decrease in external costs related to the development of NTLA-2001, our lead product candidate, primarily due to a decrease in contracted services and manufactured components incurred as compared to the prior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left="1060" w:hanging="52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$1.4 million increase in external costs related to the development of NTLA-2002, primarily due to an increase in component costs as we prepare to enter into the clinic;</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$4.2 million increase in external costs related to the development of NTLA-5001, primarily due to an increase in contracted services as we prepare to enter into the clinic;</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$8.3 million increase in employee-related expenses driven by the expansion of our development organization;</w:t>
      </w:r>
    </w:p>
    <w:p>
      <w:pPr>
        <w:spacing w:after="0" w:line="130"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$9.5 million increase in research materials and contracted services primarily due to a $10.0 million one-time payment related to the amendment of the 2014 Novartis Agreement;</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$2.1 million increase in facility-related expenses primarily related to rent, depreciation and technology expense allocated to research and development; and</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$5.1 million increase in stock-based compensation driven by our larger workforce and stock valuation.</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2021, we expect research and development expenses to increase as we continue to grow our development team, execute clinical trials for ATTR amyloidosis and progress our HAE and AML programs into the clinic.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increased by $7.4 million to $30.3 million during the six months ended June 30, 2021, compared to $22.8 million during the six months ended June 30, 2020. This increase was primarily related to an increase in employee related expenses, including stock-based compensation of $3.0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by $1.5 million to $0.4 million during the six months ended June 30, 2021 as compared to $1.9 million during the six months ended June 30, 2020. This decrease was due to a decline in investment income due to overall market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Since our inception through June 30, 2021, we have raised an aggregate of approximately $1,166.1 million to fund our operations, of which $275.9 million was through our collaboration agreements, $170.5 million was from our initial public offering and concurrent private placements, $438.3 million was from follow-on public offerings, $196.5 million was from at-the-market offerings and $85.0 million was from the sale of convertible preferred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had $551.3 million in cash, cash equivalents and marketable securities.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2021, we closed an underwritten public offering of 4,758,620 shares of common stock, including the exercise in full of the underwriters’ option to purchase an additional 620,689 shares of common stock, at the public offering price of $145.00 per share, for aggregate estimated net proceeds of $648.1 million, after deducting approximately $41.9 million in underwriting discounts and estimated offering costs.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entitled to receive research payments under our collaboration with Novartis and are also eligible to earn a significant amount of milestone payments and royalties, in each case, on a per-product basis under our collaboration with Novartis and on a per-target basis under our collaboration with Regeneron. Our ability to earn these milestone payments and the timing of achieving these milestones is dependent upon the outcome of our research and development activities and is uncertain at this time. Our rights to payments under our collaboration agreements are our only committed external source of funds.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 Programs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August 2019, we entered into an Open Market Sale Agreement (the “2019 Sales Agreement”) with Jefferies, under which Jefferies is able to offer and sell, from time to time in “at-the-market” offerings, shares of our common stock having aggregate gross proceeds of up to $150.0 million. We agreed to pay to Jefferies cash commissions of 3.0% of the gross proceeds of sales of common stock under the 2019 Sales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During the six months ended June 30, 2021, we issued 641,709 shares of our common stock in a series of sales at an average price of $72.79 per share in accordance with the 2019 Sales Agreement, for aggregate net proceeds of $45.3 million after payment of cash commissions to Jefferies and approximately $0.1 million related to legal, accounting and other fees in connection with the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$47.4 million in shares of our common stock remain eligible for sale under the 2019 Sales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uses of capital are, and we expect will continue to be, research and development contracted services, compensation and related expenses, laboratory and office facilities, research supplies, legal and regulatory expenses, patent prosecution filing and maintenance costs for our licensed IP and general overhead costs. During 2021, we expect our expenses to increase compared to prior periods in connection with our ongoing activities as we continue to grow our research and development team and advance additional programs into clinical development.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Because our lead programs are still in the preclinical or early clinical stage and the outcome of these efforts is uncertain, we cannot estimate the actual amounts necessary to successfully complete the development and commercialization of any future product candidates or whether, or when, we may achieve profitability. Until such time as we can generate substantial product revenues, if ever, we expect to finance our ongoing cash needs through equity financings and collaboration arrangements. We receive cost reimbursements from Regeneron for the ATTR amyloidosis and hemophilia programs. Additionally, we are eligible to earn milestone payments and royalties, in each case, on a per-product basis under our collaboration with Novartis and on a per-target basis under our collaboration with Regeneron, subject to the provisions of our agreements with each of them. Except for these sources of funding, we will not have any committed external source of liquidity. To the extent that we raise additional capital through the future sale of equity, the ownership interest of our stockholders will be diluted, and the terms of these securities may include liquidation or other preferences that adversely affect the rights of our existing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our research and development plans and our expectations related to the progress of our programs, we expect that our cash, cash equivalents and marketable securities as of June 30, 2021, along with the proceeds from the July 2021 public offering of common stock, will enable us to fund our ongoing operating expenses and capital expenditure requirements beyond the next twenty-four months, excluding any potential milestone payments or extension fees that could be earned and distributed under the collaboration agreements with Regeneron and Novartis or any strategic use of capital not currently in the base case planning assumptions. We have based this estimate on current assumptions that may prove to be wrong, and we could use our capital resources sooner than we expect.</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generate revenue and achieve profitability depends significantly on our success in many areas, including: developing our delivery technologies and our CRISPR/Cas9 technology platform;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of our product candidates; addressing any competing technological and market developments; negotiating favorable terms in any collaboration, licensing, or other arrangements into which we may enter; maintaining good relationships with our collaborators and licensors; maintaining, protecting, and expanding our portfolio of IP rights, including patents, trade secrets, and know-how; and attracting, hiring, and retaining qualified personnel.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for the six months ended June 30, 2021 and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56"/>
        </w:trPr>
        <w:tc>
          <w:tcPr>
            <w:tcW w:w="57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r>
      <w:tr>
        <w:trPr>
          <w:trHeight w:val="155"/>
        </w:trPr>
        <w:tc>
          <w:tcPr>
            <w:tcW w:w="57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gridSpan w:val="2"/>
          </w:tcPr>
          <w:p>
            <w:pPr>
              <w:jc w:val="right"/>
              <w:ind w:right="559"/>
              <w:spacing w:after="0" w:line="155" w:lineRule="exact"/>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8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(105.4)</w:t>
            </w:r>
          </w:p>
        </w:tc>
        <w:tc>
          <w:tcPr>
            <w:tcW w:w="11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FF0FC"/>
          </w:tcPr>
          <w:p>
            <w:pPr>
              <w:spacing w:after="0"/>
              <w:rPr>
                <w:sz w:val="19"/>
                <w:szCs w:val="19"/>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jc w:val="right"/>
              <w:ind w:right="95"/>
              <w:spacing w:after="0"/>
              <w:rPr>
                <w:sz w:val="20"/>
                <w:szCs w:val="20"/>
                <w:color w:val="auto"/>
              </w:rPr>
            </w:pPr>
            <w:r>
              <w:rPr>
                <w:rFonts w:ascii="Arial" w:cs="Arial" w:eastAsia="Arial" w:hAnsi="Arial"/>
                <w:sz w:val="18"/>
                <w:szCs w:val="18"/>
                <w:color w:val="auto"/>
              </w:rPr>
              <w:t>7.7</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150.4</w:t>
            </w:r>
          </w:p>
        </w:tc>
        <w:tc>
          <w:tcPr>
            <w:tcW w:w="280" w:type="dxa"/>
            <w:vAlign w:val="bottom"/>
          </w:tcPr>
          <w:p>
            <w:pPr>
              <w:spacing w:after="0"/>
              <w:rPr>
                <w:sz w:val="19"/>
                <w:szCs w:val="19"/>
                <w:color w:val="auto"/>
              </w:rPr>
            </w:pP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65.7</w:t>
            </w: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of $105.4 million during the six months ended June 30, 2021 primarily reflects the increased spend in our research and development activities, offset in part by the receipt of $3.2 million in payments from our collaboration partners during those periods. Net cash provided by operating activities of $18.9 million during the six months ended June 30, 2020 primarily reflects the receipt of a $70.0 million up-front payment and $8.4 million in additional payments under our collaboration with Regeneron and $6.0 million in payments from Novartis, offset in part by increased spend in our research and development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six months ended June 30, 2021 and 2020, our investing activities provided net cash of $7.7 million and $150.4 million, respectively. The increase in the six months ended June 30, 2021 is primarily due to an increase in marketable securities activity during the period, as $185.4 million in marketable securities were purchased and $198.5 million in marketable securities matured. The increase in the six months ended June 30, 2020 is primarily due to an increase of $152.3 million from marketable securities activity during the period, as $183.5 million in marketable securities matured and $31.2 million in marketable securities were purchased. These increases in cash provided by investing activity were offset in part by the use of $5.4 million and $1.9 million related to purchases of property and equipment in the six months ended June 30, 2021 and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provided by financing activities of $65.7 million during the six months ended June 30, 2021 includes $45.3 million in net proceeds from at-the-market offerings, $19.5 million in cash received from the exercise of stock options and $1.0 million in cash received from the issuance of shares through our employee stock purchase plan. Net cash provided by financing activities of $137.1 million during the six months ended June 30, 2020 includes $107.7 million in net proceeds from a follow-on offering, $14.7 million in net proceeds from at-the-market offerings, $12.6 million in proceeds from the issuance of common stock to Regeneron in a private placement, $1.4 million in cash received from the exercise of stock options and $0.7 million in cash received from the issuance of shares through our employee stock purchase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critical accounting policies require the most significant judgments and estimates in the preparation of our condensed consolidated financial statements. Management has determined that our most critical accounting policies are those relating to revenue recognition and equity-based compensation. There have been no changes to our critical accounting policies from those which were discussed in our Annual Report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read Note 2, “Summary of Significant Accounting Policies”, to our condensed consolidated financial statements included in Part I, Item 1, “Notes to Condensed Consolidated Financial Statements,” of this Quarterly Report on Form 10-Q for a description of recent accounting pronouncements applicable to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There were no material changes to our contractual obligations during the six months ended June 30, 2021. For a complete discussion of our contractual obligations, please refer to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our Annual Report for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June 30, 2021, we had cash equivalents, restricted cash equivalents and marketable securities of $551.4 million consisting of interest-bearing money market accounts, commercial paper, asset-backed securities, corporate and financial institution debt securities and U.S. Treasury securities. Our primary exposure to market risk is interest rate sensitivity, which is affected by changes in the general level of U.S. interest rates, particularly because our investments are primarily in marketable securities. Due to the short-term duration of our investment portfolios and the low risk profile of our investments, we do not believe an immediate change of 100 basis points, or one percentage point, would have a material effect on the fair market value of our investment portfolio. Declines in interest rates, however, would reduce future investment income.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foreign currency or derivative financial instruments. Inflation generally affects us by increasing our cost of labor and program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had a material effect on our results of operations during the six months ended June 30,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disclosure controls and procedures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June 30,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six months ended June 30, 2021 that has materially affected, or is reasonably likely to materially affect, our internal control over financial reporting.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related to intellectual property (“IP”), commercial arrangements and other matters. 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Caribou Arbitration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17, 2018, we initiated an arbitration proceeding against Caribou Biosciences, Inc. (“Caribou”) asserting that Caribou violated the terms and conditions of a license agreement we entered into with them in July 2014 related to certain IP (the “Caribou License”), as well as other contractual and legal obligations to us, by using and seeking to license to third parties two patent families relating to specific structural or chemical modifications of guide RNAs (“gRNAs”), that were purportedly invented or controlled by Caribou, in our exclusive human therapeutic field, before an agreed-upon cutoff date of January 30, 2018.</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26, 2019, we announced that the arbitration panel issued an interim award concluding that both the structural and chemical gRNA modification technologies were exclusively licensed to us by Caribou pursuant to the Caribou License. Nevertheless, the arbitration panel, solely with respect to the chemically modified gRNAs, stated that it will declare that Caribou has an equitable “leaseback”, which it described as exclusive, perpetual and worldwide (the “Caribou Award”). The Caribou Award does not include the structural guide modifications IP also at issue in the arbitration, any other IP exclusively licensed or sublicensed by Caribou to us under the Caribou License (including but not limited to the foundational CRISPR/Cas9 IP co-owned by the Regents of the University of California, University of Vienna and Dr. Emmanuelle Charpentier), or any other of our IP. On February 6, 2020, the panel clarified that the Caribou Award’s equitable leaseback is limited to a particular on-going Caribou program, known as CB-010, which seeks to develop a chimeric antigen receptor T (“CAR-T”) product directed at CD19.</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2021, we executed a Leaseback Agreement (“Leaseback”) with Caribou, which settles the ongoing arbitration. Under the Leaseback, in exchange for an upfront payment, potential future regulatory and sales milestones, and single-digit royalties payable by Caribou, we have agreed to leaseback or sublicense certain CRISPR/Cas9 IP, including our chemical gRNA modification technology at issue in the arbitration and other CRISPR/Cas9 IP, to Caribou so that it can develop and commercialize its CB-010 product candidate. Caribou also will be responsible for any royalty payments required in respect of our in-licensed IP, such as the foundational CRISPR/Cas9 IP.</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“Item 3. Legal Proceedings” of our Annual Report on Form 10-K (“Annual Report”) for the fiscal year ended December 31, 2020 includes additional discussion of our current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Investing in our common stock involves a high degree of risk. Careful consideration should be given to the following risk factors, in addition to the other information set forth in this Quarterly Report on Form 10-Q, our Annual Report for the year ended December 31, 2020 and in other documents that we file with the SEC, in evaluating us and our business. If any of the following risks and uncertainties actually occurs, our business, prospects, financial condition and results of operations could be materially and adversely affected. The risks summarized and described below are not intended to be exhaustive and are not the only risks facing us. New risk factors can emerge from time to time, and it is not possible to predict the impact that any factor or combination of factors may have on our business, prospects,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243" w:lineRule="exact"/>
        <w:rPr>
          <w:sz w:val="20"/>
          <w:szCs w:val="20"/>
          <w:color w:val="auto"/>
        </w:rPr>
      </w:pPr>
    </w:p>
    <w:p>
      <w:pPr>
        <w:jc w:val="both"/>
        <w:ind w:left="1060" w:hanging="526"/>
        <w:spacing w:after="0" w:line="263"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CRISPR/Cas9 genome editing technology has limited clinical validation and has not been approved for human therapeutic use. The approaches we are taking to discover and develop novel therapeutics using CRISPR/Cas9 systems are unproven and may never lead to marketable products. If we are unable to develop viable product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526" w:right="20"/>
        <w:spacing w:after="0" w:line="277" w:lineRule="auto"/>
        <w:rPr>
          <w:sz w:val="20"/>
          <w:szCs w:val="20"/>
          <w:color w:val="auto"/>
        </w:rPr>
      </w:pPr>
      <w:r>
        <w:rPr>
          <w:rFonts w:ascii="Arial" w:cs="Arial" w:eastAsia="Arial" w:hAnsi="Arial"/>
          <w:sz w:val="18"/>
          <w:szCs w:val="18"/>
          <w:color w:val="auto"/>
        </w:rPr>
        <w:t>candidates, achieve regulatory approval for any such product candidate or market and sell any product candidates, we may never achieve profitability.</w:t>
      </w:r>
    </w:p>
    <w:p>
      <w:pPr>
        <w:spacing w:after="0" w:line="62" w:lineRule="exact"/>
        <w:rPr>
          <w:sz w:val="20"/>
          <w:szCs w:val="20"/>
          <w:color w:val="auto"/>
        </w:rPr>
      </w:pPr>
    </w:p>
    <w:p>
      <w:pPr>
        <w:jc w:val="both"/>
        <w:ind w:left="526" w:hanging="526"/>
        <w:spacing w:after="0" w:line="296" w:lineRule="auto"/>
        <w:tabs>
          <w:tab w:leader="none" w:pos="526"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Results, including data from our preclinical studies and clinical trials, that we announce from time to time, such as the interim data from our ongoing Phase 1 clinical study of NTLA-2001, are not necessarily predictive of our other ongoing and future preclinical and clinical studies, and they do not guarantee or indicate the likelihood of approval of any potential product candidate by the United States Food and Drug Administration (“FDA”) or any other regulatory agency. If we cannot replicate the positive results from any of our preclinical or clinical studies, we may be unable to successfully develop, obtain regulatory approval for and commercialize any potential product candidate.</w:t>
      </w:r>
    </w:p>
    <w:p>
      <w:pPr>
        <w:spacing w:after="0" w:line="53" w:lineRule="exact"/>
        <w:rPr>
          <w:rFonts w:ascii="Arial" w:cs="Arial" w:eastAsia="Arial" w:hAnsi="Arial"/>
          <w:sz w:val="16"/>
          <w:szCs w:val="16"/>
          <w:color w:val="auto"/>
        </w:rPr>
      </w:pPr>
    </w:p>
    <w:p>
      <w:pPr>
        <w:jc w:val="both"/>
        <w:ind w:left="526" w:hanging="526"/>
        <w:spacing w:after="0" w:line="286" w:lineRule="auto"/>
        <w:tabs>
          <w:tab w:leader="none" w:pos="52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In vivo </w:t>
      </w:r>
      <w:r>
        <w:rPr>
          <w:rFonts w:ascii="Arial" w:cs="Arial" w:eastAsia="Arial" w:hAnsi="Arial"/>
          <w:sz w:val="17"/>
          <w:szCs w:val="17"/>
          <w:color w:val="auto"/>
        </w:rPr>
        <w:t>genome editing products and</w:t>
      </w:r>
      <w:r>
        <w:rPr>
          <w:rFonts w:ascii="Arial" w:cs="Arial" w:eastAsia="Arial" w:hAnsi="Arial"/>
          <w:sz w:val="17"/>
          <w:szCs w:val="17"/>
          <w:i w:val="1"/>
          <w:iCs w:val="1"/>
          <w:color w:val="auto"/>
        </w:rPr>
        <w:t xml:space="preserve"> ex vivo </w:t>
      </w:r>
      <w:r>
        <w:rPr>
          <w:rFonts w:ascii="Arial" w:cs="Arial" w:eastAsia="Arial" w:hAnsi="Arial"/>
          <w:sz w:val="17"/>
          <w:szCs w:val="17"/>
          <w:color w:val="auto"/>
        </w:rPr>
        <w:t>engineered cell therapies based on CRISPR/Cas9 genome editing technology are novel and may</w:t>
      </w:r>
      <w:r>
        <w:rPr>
          <w:rFonts w:ascii="Arial" w:cs="Arial" w:eastAsia="Arial" w:hAnsi="Arial"/>
          <w:sz w:val="17"/>
          <w:szCs w:val="17"/>
          <w:i w:val="1"/>
          <w:iCs w:val="1"/>
          <w:color w:val="auto"/>
        </w:rPr>
        <w:t xml:space="preserve"> </w:t>
      </w:r>
      <w:r>
        <w:rPr>
          <w:rFonts w:ascii="Arial" w:cs="Arial" w:eastAsia="Arial" w:hAnsi="Arial"/>
          <w:sz w:val="17"/>
          <w:szCs w:val="17"/>
          <w:color w:val="auto"/>
        </w:rPr>
        <w:t>be complex and difficult to manufacture. We could experience manufacturing problems or regulatory requirements that result in delays in the development, approval or commercialization of our product candidates or otherwise harm our business.</w:t>
      </w:r>
    </w:p>
    <w:p>
      <w:pPr>
        <w:spacing w:after="0" w:line="57" w:lineRule="exact"/>
        <w:rPr>
          <w:rFonts w:ascii="Arial" w:cs="Arial" w:eastAsia="Arial" w:hAnsi="Arial"/>
          <w:sz w:val="17"/>
          <w:szCs w:val="17"/>
          <w:color w:val="auto"/>
        </w:rPr>
      </w:pPr>
    </w:p>
    <w:p>
      <w:pPr>
        <w:ind w:left="526" w:hanging="526"/>
        <w:spacing w:after="0" w:line="342" w:lineRule="auto"/>
        <w:tabs>
          <w:tab w:leader="none" w:pos="52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Clinical development involves a lengthy and expensive process, with an uncertain outcome. We may incur additional costs or experience delays in completing, or ultimately be unable to complete, the development and commercialization of any product candidates.</w:t>
      </w:r>
    </w:p>
    <w:p>
      <w:pPr>
        <w:spacing w:after="0" w:line="15" w:lineRule="exact"/>
        <w:rPr>
          <w:rFonts w:ascii="Arial" w:cs="Arial" w:eastAsia="Arial" w:hAnsi="Arial"/>
          <w:sz w:val="16"/>
          <w:szCs w:val="16"/>
          <w:color w:val="auto"/>
        </w:rPr>
      </w:pPr>
    </w:p>
    <w:p>
      <w:pPr>
        <w:ind w:left="526" w:right="20" w:hanging="526"/>
        <w:spacing w:after="0" w:line="277" w:lineRule="auto"/>
        <w:tabs>
          <w:tab w:leader="none" w:pos="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ability to complete clinical trials or our receipt of necessary regulatory approvals could be delayed or prevented.</w:t>
      </w:r>
    </w:p>
    <w:p>
      <w:pPr>
        <w:spacing w:after="0" w:line="62" w:lineRule="exact"/>
        <w:rPr>
          <w:rFonts w:ascii="Arial" w:cs="Arial" w:eastAsia="Arial" w:hAnsi="Arial"/>
          <w:sz w:val="18"/>
          <w:szCs w:val="18"/>
          <w:color w:val="auto"/>
        </w:rPr>
      </w:pPr>
    </w:p>
    <w:p>
      <w:pPr>
        <w:ind w:left="526" w:hanging="526"/>
        <w:spacing w:after="0" w:line="277" w:lineRule="auto"/>
        <w:tabs>
          <w:tab w:leader="none" w:pos="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 if we obtain regulatory approval of any product candidates, such candidates may not gain market acceptance among physicians, patients, hospitals, third-party payors and others in the medical community.</w:t>
      </w:r>
    </w:p>
    <w:p>
      <w:pPr>
        <w:spacing w:after="0" w:line="62" w:lineRule="exact"/>
        <w:rPr>
          <w:rFonts w:ascii="Arial" w:cs="Arial" w:eastAsia="Arial" w:hAnsi="Arial"/>
          <w:sz w:val="18"/>
          <w:szCs w:val="18"/>
          <w:color w:val="auto"/>
        </w:rPr>
      </w:pPr>
    </w:p>
    <w:p>
      <w:pPr>
        <w:ind w:left="526" w:hanging="526"/>
        <w:spacing w:after="0" w:line="277" w:lineRule="auto"/>
        <w:tabs>
          <w:tab w:leader="none" w:pos="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the coronavirus disease 2019 (“COVID-19”) outbreak or similar public health crises could cause a disruption of the development of our product candidates and adversely impact our business.</w:t>
      </w:r>
    </w:p>
    <w:p>
      <w:pPr>
        <w:spacing w:after="0" w:line="62" w:lineRule="exact"/>
        <w:rPr>
          <w:rFonts w:ascii="Arial" w:cs="Arial" w:eastAsia="Arial" w:hAnsi="Arial"/>
          <w:sz w:val="18"/>
          <w:szCs w:val="18"/>
          <w:color w:val="auto"/>
        </w:rPr>
      </w:pPr>
    </w:p>
    <w:p>
      <w:pPr>
        <w:jc w:val="both"/>
        <w:ind w:left="526" w:hanging="526"/>
        <w:spacing w:after="0" w:line="263" w:lineRule="auto"/>
        <w:tabs>
          <w:tab w:leader="none" w:pos="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The possibility that our competitors may achieve regulatory approval before we do or develop therapies that are more advanced or effective than ours may harm our business and financial condition or our ability to successfully market or commercialize our product candidates.</w:t>
      </w:r>
    </w:p>
    <w:p>
      <w:pPr>
        <w:spacing w:after="0" w:line="75" w:lineRule="exact"/>
        <w:rPr>
          <w:rFonts w:ascii="Arial" w:cs="Arial" w:eastAsia="Arial" w:hAnsi="Arial"/>
          <w:sz w:val="18"/>
          <w:szCs w:val="18"/>
          <w:color w:val="auto"/>
        </w:rPr>
      </w:pPr>
    </w:p>
    <w:p>
      <w:pPr>
        <w:jc w:val="both"/>
        <w:ind w:left="526" w:hanging="526"/>
        <w:spacing w:after="0" w:line="257" w:lineRule="auto"/>
        <w:tabs>
          <w:tab w:leader="none" w:pos="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revenue from product sales and become profitable is dependent on the success of our application of CRISPR/Cas9 technology for human therapeutic use, which is at an early stage of development and will require significant additional discovery efforts, preclinical testing and clinical studies and manufacturing capabilities, as well as applicable regulatory guidance regarding preclinical testing and clinical studies from the FDA and other similar regulatory authorities, before we can seek regulatory approval and begin commercial sales of any potential product candidates.</w:t>
      </w:r>
    </w:p>
    <w:p>
      <w:pPr>
        <w:spacing w:after="0" w:line="79" w:lineRule="exact"/>
        <w:rPr>
          <w:rFonts w:ascii="Arial" w:cs="Arial" w:eastAsia="Arial" w:hAnsi="Arial"/>
          <w:sz w:val="18"/>
          <w:szCs w:val="18"/>
          <w:color w:val="auto"/>
        </w:rPr>
      </w:pPr>
    </w:p>
    <w:p>
      <w:pPr>
        <w:jc w:val="both"/>
        <w:ind w:left="526" w:hanging="526"/>
        <w:spacing w:after="0" w:line="263" w:lineRule="auto"/>
        <w:tabs>
          <w:tab w:leader="none" w:pos="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 opinion and increased regulatory scrutiny of CRISPR/Cas9 use, genome editing or gene therapy generally may damage public perception of the safety of any product candidates that we develop and adversely affect our ability to conduct our business or obtain regulatory approvals for such product candidates.</w:t>
      </w:r>
    </w:p>
    <w:p>
      <w:pPr>
        <w:spacing w:after="0" w:line="75" w:lineRule="exact"/>
        <w:rPr>
          <w:rFonts w:ascii="Arial" w:cs="Arial" w:eastAsia="Arial" w:hAnsi="Arial"/>
          <w:sz w:val="18"/>
          <w:szCs w:val="18"/>
          <w:color w:val="auto"/>
        </w:rPr>
      </w:pPr>
    </w:p>
    <w:p>
      <w:pPr>
        <w:ind w:left="526" w:right="20" w:hanging="526"/>
        <w:spacing w:after="0" w:line="277" w:lineRule="auto"/>
        <w:tabs>
          <w:tab w:leader="none" w:pos="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internal computer systems, or those of our collaborators or other contractors or consultants, may fail or suffer security breaches, which could result in a material disruption of our operations and development efforts.</w:t>
      </w:r>
    </w:p>
    <w:p>
      <w:pPr>
        <w:spacing w:after="0" w:line="62" w:lineRule="exact"/>
        <w:rPr>
          <w:rFonts w:ascii="Arial" w:cs="Arial" w:eastAsia="Arial" w:hAnsi="Arial"/>
          <w:sz w:val="18"/>
          <w:szCs w:val="18"/>
          <w:color w:val="auto"/>
        </w:rPr>
      </w:pPr>
    </w:p>
    <w:p>
      <w:pPr>
        <w:jc w:val="both"/>
        <w:ind w:left="526" w:hanging="526"/>
        <w:spacing w:after="0" w:line="259" w:lineRule="auto"/>
        <w:tabs>
          <w:tab w:leader="none" w:pos="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technological advancements and any potential for revenue may be derived in part from our collaborations with Novartis Institutes for BioMedical Research Inc. (“Novartis”) and Regeneron Pharmaceuticals, Inc. (“Regeneron”), and if either of these collaboration agreements were to be terminated or materially altered in an adverse manner, our business, financial condition, results of operations and prospects would be harmed.</w:t>
      </w:r>
    </w:p>
    <w:p>
      <w:pPr>
        <w:spacing w:after="0" w:line="78" w:lineRule="exact"/>
        <w:rPr>
          <w:rFonts w:ascii="Arial" w:cs="Arial" w:eastAsia="Arial" w:hAnsi="Arial"/>
          <w:sz w:val="18"/>
          <w:szCs w:val="18"/>
          <w:color w:val="auto"/>
        </w:rPr>
      </w:pPr>
    </w:p>
    <w:p>
      <w:pPr>
        <w:jc w:val="both"/>
        <w:ind w:left="526" w:hanging="526"/>
        <w:spacing w:after="0" w:line="259" w:lineRule="auto"/>
        <w:tabs>
          <w:tab w:leader="none" w:pos="5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our license agreement with Caribou Biosciences, Inc. (“Caribou”), we sublicense a patent family from the Regents of the University of California and the University of Vienna that is co-owned by Dr. Emmanuel Charpentier. The outcome of on-going legal proceedings, as well as potential future proceedings, related to this patent family may affect our ability to utilize certain intellectual property sublicensed under our license agreement with Caribou.</w:t>
      </w:r>
    </w:p>
    <w:p>
      <w:pPr>
        <w:spacing w:after="0" w:line="187" w:lineRule="exact"/>
        <w:rPr>
          <w:sz w:val="20"/>
          <w:szCs w:val="20"/>
          <w:color w:val="auto"/>
        </w:rPr>
      </w:pPr>
    </w:p>
    <w:p>
      <w:pPr>
        <w:jc w:val="center"/>
        <w:ind w:right="51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6"/>
          </w:cols>
          <w:pgMar w:left="854" w:top="125" w:right="339" w:bottom="1440" w:gutter="0" w:footer="0" w:header="0"/>
        </w:sectPr>
      </w:pPr>
    </w:p>
    <w:bookmarkStart w:id="34" w:name="page35"/>
    <w:bookmarkEnd w:id="34"/>
    <w:p>
      <w:pPr>
        <w:ind w:left="1060" w:hanging="52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unsuccessful in obtaining or maintaining adequate patent protection for one or more of our products or product candidates, or asserting and defending our intellectual property rights that protect our products and technologies.</w:t>
      </w:r>
    </w:p>
    <w:p>
      <w:pPr>
        <w:spacing w:after="0" w:line="62"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unable to avoid, obtain or invalidate patent rights from third parties necessary to develop, manufacture or commercialize our product candidates in one or more jurisdictions.</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incurred net losses in each period since our inception, anticipate that we will continue to incur net losses in the future and may never achieve profitability.</w:t>
      </w:r>
    </w:p>
    <w:p>
      <w:pPr>
        <w:spacing w:after="0" w:line="62"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of our common stock historically has been volatile, which may affect the price at which you could sell any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Preclinical and Clinical Development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CRISPR/Cas9 genome editing technology is not yet clinically validated for human therapeutic use. The approaches we are taking to discover and develop novel therapeutics using CRISPR/Cas9 systems are unproven and may never lead to marketable products. If we are unable to develop viable product candidates, achieve regulatory approval for any such product candidate or market and sell any product candidates, we may never achieve profitability.</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are focused on developing curative medicines utilizing CRISPR/Cas9 genome editing technology, including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therapies and engineered cell therapies. Although there have been significant advances in recent years in the fields of gene therapy and genome editing,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CRISPR-based genome editing technologies are relatively new and their therapeutic utility is largely unproven. Our approach to developing therapies centers on using CRISPR/Cas9 technology to alter, introduce or remove genetic information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 treat various disorders, or to engineer human cells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to create therapeutic cells that can be introduced into the human body to address the underlying disease.</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Successful development of products by us will require solving a number of issues, including developing or obtaining technologies to safely deliver a therapeutic agent into target cells within the human body or engineer human cells while outside of the body such that the modified cells can have a therapeutic effect when delivered to the patient, optimizing the efficacy and specificity of such products, and ensuring and demonstrating the therapeutic selectivity, efficacy, potency, purity and safety of such products. There can be no assurance we will be successful in solving any or all of these issues. Indeed, no genome editing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therapy or genome-edited engineered cell therapy has been approved in the United States (“U.S.”), European Union (“EU”) countries or other key jurisdictions. With regards to CRISPR/Cas9-based therapies specifically, we are beginning to clinically test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product candidates and have not obtained clearance to start clinical testing of our engineered product candidates. Further, we are unaware of any clinical trials validating safety and efficacy having been completed by any third parties. Accordingly, the potential to successfully obtain approval for any of our CRISPR/Cas9 product candidates remains unproven.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future success also is highly dependent on the successful development of CRISPR-based genome editing technologies, cellular delivery methods and therapeutic applications for the indications on which we have focused our on-going research and development efforts. We may decide to alter or abandon these programs as new data become available and we gain experience in developing CRISPR/Cas9-based therapeutics. We cannot be sure that our CRISPR/Cas9 efforts and technologies will yield satisfactory products that are safe and effective, sufficiently pure or potent, manufacturable, scalable or profitable in our selected indications or any other indication we pursue. We cannot guarantee that progress or success in developing any particular CRISPR/Cas9 therapeutic product will translate to other CRISPR/Cas9 products.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Public perception and related media coverage of potential therapy-related efficacy or safety issues, including adoption of new therapeutics or novel approaches to treatment, as well as ethical concerns related specifically to genome editing and CRISPR/Cas9, may adversely influence the willingness of subjects to participate in clinical trials, or if any therapeutic is approved, of physicians and patients to accept these novel and personalized treatments. Physicians, health care providers and third-party payors often are slow to adopt new products, technologies and treatment practices, particularly those that may also require additional upfront costs and training. Physicians may not be willing to undergo training to adopt these novel and potentially personalized therapies, may decide the particular therapy is too complex or potentially risky to adopt without appropriate training, and may choose not to administer the therapy. Further, due to health conditions, genetic profile or other reasons, certain patients may not be candidates for the therapies. In addition, responses by federal and state agencies,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both"/>
        <w:spacing w:after="0" w:line="273" w:lineRule="auto"/>
        <w:rPr>
          <w:sz w:val="20"/>
          <w:szCs w:val="20"/>
          <w:color w:val="auto"/>
        </w:rPr>
      </w:pPr>
      <w:r>
        <w:rPr>
          <w:rFonts w:ascii="Arial" w:cs="Arial" w:eastAsia="Arial" w:hAnsi="Arial"/>
          <w:sz w:val="17"/>
          <w:szCs w:val="17"/>
          <w:color w:val="auto"/>
        </w:rPr>
        <w:t>congressional committees and foreign governments to negative public perception, ethical concerns or financial considerations may result in new legislation, regulations, or medical standards that could limit our ability to develop or commercialize any product candidates, obtain or maintain regulatory approval or otherwise achieve profitability.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 Based on these and other factors, health care providers and payors may decide that the benefits of these new therapies do not or will not outweigh their costs.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Clinical development involves a lengthy and expensive process, with an uncertain outcome. We may incur additional costs or experience delays in completing, or ultimately be unable to complete, the development and commercialization of any product candidates.</w:t>
      </w:r>
    </w:p>
    <w:p>
      <w:pPr>
        <w:spacing w:after="0" w:line="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of our lead programs are still in the discovery, preclinical or early clinical stage. Our current and future product candidates will require preclinical and clinical activities and studies, regulatory review and approval in each jurisdiction in which we intend to market the products, substantial investment, establishing manufacturing capabilities, access to sufficient commercial manufacturing capacity and significant marketing efforts before we can generate any revenue from product sales. Before obtaining marketing approval from regulatory authorities for the sale of a product candidate, we must conduct extensive clinical trials to demonstrate the safety, purity, potency and efficacy of the product in humans. It is impossible to predict when or if any of our programs will prove effective and safe in humans or will receive regulatory approval. Preclinical and clinical testing is expensive, difficult to design and implement, can take many years to complete and is uncertain as to outcome. We may be unable to establish clinical endpoints that regulatory authorities consider clinically meaningful, and a clinical trial can fail at any stage.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products.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Successful completion of clinical trials is a prerequisite to submitting a Biologics License Application (“BLA”) to the FDA, and similar applications to comparable foreign regulatory authorities, for each product candidate and, consequently, the ultimate approval and commercial marketing of any product candidates. We do not know whether any of our clinical trials will begin or be completed on schedule, if at all.</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these are new therapeutic approaches, discovering, developing, manufacturing and commercializing our product candidates subject us to a number of challenges or delays in completing our preclinical studies and initiating or completing clinical trials. We also may experience numerous unforeseen events during, or as a result of, any current or future clinical trials that we conduct, which could delay or prevent our ability to receive marketing approval or commercialize our product candidates, including:</w:t>
      </w:r>
    </w:p>
    <w:p>
      <w:pPr>
        <w:spacing w:after="0" w:line="79" w:lineRule="exact"/>
        <w:rPr>
          <w:sz w:val="20"/>
          <w:szCs w:val="20"/>
          <w:color w:val="auto"/>
        </w:rPr>
      </w:pPr>
    </w:p>
    <w:p>
      <w:pPr>
        <w:jc w:val="both"/>
        <w:ind w:left="1060" w:hanging="526"/>
        <w:spacing w:after="0" w:line="255"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 obtaining regulatory clearance or approval to commence clinical trials in the U.S. from the FDA through an investigational new drug application (“IND”) or from other regulatory agencies outside the U.S., such as the U.K.’s Medicines and Healthcare products Regulatory Agency (“MHRA”) or the New Zealand Medicines and Medical Devices Safety Authority, through corresponding applications, such as a Clinical Trial Application (“CTA”), a Clinical Trial Notification or a Clinical Trial Exemption, because these agencies have very limited or no experience with the clinical development of CRISPR/Cas9 therapeutics, which may require additional significant testing or data compared to more traditional therapies;</w:t>
      </w:r>
    </w:p>
    <w:p>
      <w:pPr>
        <w:spacing w:after="0" w:line="8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developing processes for the safe administration of these products, including long-term follow-up for patients who receive treatment with any of our product candidates;</w:t>
      </w:r>
    </w:p>
    <w:p>
      <w:pPr>
        <w:spacing w:after="0" w:line="62"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conduct a clinical trial;</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reach, or delays in reaching, agreement on acceptable terms with trial sites and contract research organizations (“CROs”);</w:t>
      </w:r>
    </w:p>
    <w:p>
      <w:pPr>
        <w:spacing w:after="0" w:line="155" w:lineRule="exact"/>
        <w:rPr>
          <w:rFonts w:ascii="Arial" w:cs="Arial" w:eastAsia="Arial" w:hAnsi="Arial"/>
          <w:sz w:val="17"/>
          <w:szCs w:val="17"/>
          <w:color w:val="auto"/>
        </w:rPr>
      </w:pPr>
    </w:p>
    <w:p>
      <w:pPr>
        <w:ind w:left="1060" w:hanging="526"/>
        <w:spacing w:after="0" w:line="308"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clinical trials of any product candidates may fail to show safety or efficacy, or could produce negative or inconclusive results, which could result in having to conduct additional preclinical studies or clinical trials or terminating the product development programs;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ind w:left="1060" w:hanging="526"/>
        <w:spacing w:after="0" w:line="263"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initiate or complete clinical trials of a product candidate if the required number of subjects is larger than we anticipated, the number of subjects willing to enroll is smaller than required, the pace of enrollment is slower than anticipated, or subjects drop out or fail to return for post-treatment follow-up at a higher rate than we anticipated;</w:t>
      </w:r>
    </w:p>
    <w:p>
      <w:pPr>
        <w:spacing w:after="0" w:line="75"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need to educate medical personnel, including clinical investigators, and patients regarding the potential benefits and side effect profile of each of our product candidates;</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agencies may require us to modify the design of our clinical trials or perform more extensive or lengthier clinical testing compared to existing therapeutic modalities;</w:t>
      </w:r>
    </w:p>
    <w:p>
      <w:pPr>
        <w:spacing w:after="0" w:line="62" w:lineRule="exact"/>
        <w:rPr>
          <w:rFonts w:ascii="Arial" w:cs="Arial" w:eastAsia="Arial" w:hAnsi="Arial"/>
          <w:sz w:val="18"/>
          <w:szCs w:val="18"/>
          <w:color w:val="auto"/>
        </w:rPr>
      </w:pPr>
    </w:p>
    <w:p>
      <w:pPr>
        <w:jc w:val="both"/>
        <w:ind w:left="1060" w:hanging="526"/>
        <w:spacing w:after="0" w:line="263"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75" w:lineRule="exact"/>
        <w:rPr>
          <w:rFonts w:ascii="Arial" w:cs="Arial" w:eastAsia="Arial" w:hAnsi="Arial"/>
          <w:sz w:val="18"/>
          <w:szCs w:val="18"/>
          <w:color w:val="auto"/>
        </w:rPr>
      </w:pPr>
    </w:p>
    <w:p>
      <w:pPr>
        <w:jc w:val="both"/>
        <w:ind w:left="1060" w:hanging="526"/>
        <w:spacing w:after="0" w:line="263"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75" w:lineRule="exact"/>
        <w:rPr>
          <w:rFonts w:ascii="Arial" w:cs="Arial" w:eastAsia="Arial" w:hAnsi="Arial"/>
          <w:sz w:val="18"/>
          <w:szCs w:val="18"/>
          <w:color w:val="auto"/>
        </w:rPr>
      </w:pPr>
    </w:p>
    <w:p>
      <w:pPr>
        <w:ind w:left="1060" w:hanging="52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preclinical studies and clinical trials of any product candidates may be greater than we anticipate;</w:t>
      </w:r>
    </w:p>
    <w:p>
      <w:pPr>
        <w:spacing w:after="0" w:line="144" w:lineRule="exact"/>
        <w:rPr>
          <w:rFonts w:ascii="Arial" w:cs="Arial" w:eastAsia="Arial" w:hAnsi="Arial"/>
          <w:sz w:val="18"/>
          <w:szCs w:val="18"/>
          <w:color w:val="auto"/>
        </w:rPr>
      </w:pPr>
    </w:p>
    <w:p>
      <w:pPr>
        <w:jc w:val="both"/>
        <w:ind w:left="1060" w:hanging="526"/>
        <w:spacing w:after="0" w:line="263"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preclinical studies and clinical trials of our product candidates may be insufficient or inadequate, or not available in a reasonable timeframe, and any transfer of manufacturing activities may require unforeseen manufacturing or formulation changes;</w:t>
      </w:r>
    </w:p>
    <w:p>
      <w:pPr>
        <w:spacing w:after="0" w:line="75" w:lineRule="exact"/>
        <w:rPr>
          <w:rFonts w:ascii="Arial" w:cs="Arial" w:eastAsia="Arial" w:hAnsi="Arial"/>
          <w:sz w:val="18"/>
          <w:szCs w:val="18"/>
          <w:color w:val="auto"/>
        </w:rPr>
      </w:pPr>
    </w:p>
    <w:p>
      <w:pPr>
        <w:ind w:left="1060" w:hanging="526"/>
        <w:spacing w:after="0" w:line="308"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face challenges in sourcing preclinical, clinical and, if approved, commercial supplies for the materials used to manufacture and process our product candidates, which may include importing or exporting materials between different jurisdictions;</w:t>
      </w:r>
    </w:p>
    <w:p>
      <w:pPr>
        <w:spacing w:after="0" w:line="38" w:lineRule="exact"/>
        <w:rPr>
          <w:rFonts w:ascii="Arial" w:cs="Arial" w:eastAsia="Arial" w:hAnsi="Arial"/>
          <w:sz w:val="17"/>
          <w:szCs w:val="17"/>
          <w:color w:val="auto"/>
        </w:rPr>
      </w:pPr>
    </w:p>
    <w:p>
      <w:pPr>
        <w:jc w:val="both"/>
        <w:ind w:left="1060" w:hanging="526"/>
        <w:spacing w:after="0" w:line="263"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IRBs or ethics committees to suspend or terminate the trials, or reports may arise from preclinical or clinical testing of other gene therapies or genome editing-based therapies that raise safety or efficacy concerns about our product candidates;</w:t>
      </w:r>
    </w:p>
    <w:p>
      <w:pPr>
        <w:spacing w:after="0" w:line="75"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such as long-term toxicology studies, or impose other requirements before permitting us to initiate or rely on a clinical trial;</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develop a manufacturing process and distribution network with a cost of goods that allows for an attractive return on investment;</w:t>
      </w:r>
    </w:p>
    <w:p>
      <w:pPr>
        <w:spacing w:after="0" w:line="62"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face challenges in establishing sales and marketing capabilities in anticipation of, and after obtaining, any regulatory approval to gain market authorization;</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regulatory authorities may revise the requirements for approving our product candidates, or their interpretation of the approval requirements may not be what we anticipate; and</w:t>
      </w:r>
    </w:p>
    <w:p>
      <w:pPr>
        <w:spacing w:after="0" w:line="62" w:lineRule="exact"/>
        <w:rPr>
          <w:rFonts w:ascii="Arial" w:cs="Arial" w:eastAsia="Arial" w:hAnsi="Arial"/>
          <w:sz w:val="18"/>
          <w:szCs w:val="18"/>
          <w:color w:val="auto"/>
        </w:rPr>
      </w:pPr>
    </w:p>
    <w:p>
      <w:pPr>
        <w:jc w:val="both"/>
        <w:ind w:left="1060" w:hanging="526"/>
        <w:spacing w:after="0" w:line="263"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ultimately obtain regulatory approval for a BLA, or corresponding applications outside the U.S., such as a Marketing Authorization Application (“MAA”) from the U.K. and other similar regulatory authorities, such as the European Medicines Agency (“EMA”), which may have very limited or no experience with the clinical development of CRISPR/Cas9 therapeutics.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disruptions caused by the evolving COVID-19 pandemic may increase the likelihood that we encounter such difficulties or delays in initiating, enrolling, conducting or completing our ongoing and planned clinical trials. We could also encounter delays if a clinical trial is suspended or terminated by us, the IRBs of the institutions in which such trials are being conducted or the relevant ethics committee, the Data Safety Monitoring Board (“DSMB”) for such trial, or the FDA or other relevant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manufacturing or quality control issues, unforeseen safety issues or adverse side effects, failure to demonstrate a benefit from using a product or treatment, failure to establish or achieve clinically meaningful trial endpoints, changes in governmental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Additionally, because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technology potentially involves genome editing across multiple cell and tissue types, we are subject to many of the challenges and risks that other genome editing therapeutics and gene therapies face, including:</w:t>
      </w:r>
    </w:p>
    <w:p>
      <w:pPr>
        <w:spacing w:after="0" w:line="62" w:lineRule="exact"/>
        <w:rPr>
          <w:sz w:val="20"/>
          <w:szCs w:val="20"/>
          <w:color w:val="auto"/>
        </w:rPr>
      </w:pPr>
    </w:p>
    <w:p>
      <w:pPr>
        <w:ind w:left="1060" w:hanging="52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guidance regarding the requirements governing gene and genome editing therapy products have changed and may continue to change in the future;</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to date, only a limited number of products that involve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transfer have been approved globally;</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improper modulation of a gene sequence, including unintended editing events or insertion of a sequence into certain locations in a patient’s chromosome, could lead to cancer, other aberrantly functioning cells or other diseases, including death;</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transient expression of the Cas9 protein could lead to patients having an immunological reaction towards those cells, which could be severe or life-threatening;</w:t>
      </w:r>
    </w:p>
    <w:p>
      <w:pPr>
        <w:spacing w:after="0" w:line="62" w:lineRule="exact"/>
        <w:rPr>
          <w:rFonts w:ascii="Arial" w:cs="Arial" w:eastAsia="Arial" w:hAnsi="Arial"/>
          <w:sz w:val="18"/>
          <w:szCs w:val="18"/>
          <w:color w:val="auto"/>
        </w:rPr>
      </w:pPr>
    </w:p>
    <w:p>
      <w:pPr>
        <w:ind w:left="1060" w:hanging="526"/>
        <w:spacing w:after="0" w:line="308"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corrective expression of a missing protein in patients’ cells could result in the protein being recognized as foreign, and lead to a sustained immunological reaction against the expressed protein or expressing cells, which could be severe or life-threatening; and</w:t>
      </w:r>
    </w:p>
    <w:p>
      <w:pPr>
        <w:spacing w:after="0" w:line="38" w:lineRule="exact"/>
        <w:rPr>
          <w:rFonts w:ascii="Arial" w:cs="Arial" w:eastAsia="Arial" w:hAnsi="Arial"/>
          <w:sz w:val="17"/>
          <w:szCs w:val="17"/>
          <w:color w:val="auto"/>
        </w:rPr>
      </w:pPr>
    </w:p>
    <w:p>
      <w:pPr>
        <w:jc w:val="both"/>
        <w:ind w:left="1060" w:right="20" w:hanging="526"/>
        <w:spacing w:after="0" w:line="311"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regulatory agencies may require extended follow-up observation periods of patients who receive treatment using genome editing products including, for example, the FDA’s recommended 15-year follow-up observation period for these patients, and we will need to adopt such observation periods for our product candidates if required by the relevant regulatory agency, which could vary by country or region.</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Further, because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product candidates involve editing human cells and then delivering modified cells to patients, we are subject to many of the challenges and risks that engineered cell therapies face. For example, clinical trials using engineered cell-based gene therapies may require unique products to be created for each patient and such individualistic manufacturing may be both inefficient and cost-prohibitive.</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To date, human clinical trials utilizing either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CRISPR/Cas9-based therapeutics, including our clinical trial for NTLA-2001 for transthyretin (“ATTR”) amyloidosis, are still at an early stage. There is no certainty that the FDA or other similar agencies will continue to apply to all our CRISPR/Cas9 product candidates the same regulatory pathway and requirements it is applying to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therapies 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engineered therapeutics. In addition, if any product candidates encounter safety or efficacy problems, development delays, regulatory issues or other problems, our development plans and business could be significantly harmed. Further, competitors that are developing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products with similar technology may experience problems with their product candidates or programs that could in turn cause us to identify problems with our product candidates and programs that would potentially harm our business.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Negative public opinion and increased regulatory scrutiny of CRISPR/Cas9 use, genome editing or gene therapy generally may damage public perception of the safety of any product candidates that we develop and adversely affect our ability to conduct our business or obtain regulatory approvals for such product candidates.</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Gene therapy in general, and genome editing in particular, remain novel technologies, with only a limited number of gene therapy products approved to date in the U.S. and EU. Public perception may be influenced by claims that gene therapy or genome editing, including the use of CRISPR/Cas9, is unsafe or unethical, or carries an undue risk of side effects, such as improper modification of a gene sequence in a patient’s chromosome that could lead to cancer, and gene therapy or genome editing may not gain the acceptance of the public or the medical community. In particular, our success will depend upon physicians who specialize in the treatment of diseases targeted by our product candidates prescribing treatments that involve the use of our product candidates in lieu of, or in addition to, existing treatments with which they are more familiar and for which greater clinical data may be available. In addition, responses by the U.S., state or foreign governments to negative public perception or ethical concerns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could have an adverse effect on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spacing w:after="0" w:line="287" w:lineRule="auto"/>
        <w:rPr>
          <w:sz w:val="20"/>
          <w:szCs w:val="20"/>
          <w:color w:val="auto"/>
        </w:rPr>
      </w:pPr>
      <w:r>
        <w:rPr>
          <w:rFonts w:ascii="Arial" w:cs="Arial" w:eastAsia="Arial" w:hAnsi="Arial"/>
          <w:sz w:val="16"/>
          <w:szCs w:val="16"/>
          <w:color w:val="auto"/>
        </w:rPr>
        <w:t xml:space="preserve">financial condition and results of operations and prospects, and may delay or impair the development and commercialization of our product candidates or demand for any products we may develop. For example, certain gene therapy trials led to several well-publicized adverse events, including cases of leukemia and death. Serious adverse events, such as these, in our clinical trials, or other clinical trials involving gene therapy or genome editing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 In addition, the use of the technology by third parties in areas that are not being pursued by us, such as for targeting and editing of embryonic cells, could adversely impact public and governmental perceptions regarding the ethics and risks of the CRISPR/Cas9 technology and lead to social or legal changes that could limit our ability to apply the technology to develop human therapies addressing disease. For example, reports of the use of CRISPR/Cas9 in China and Russia to edit embryos </w:t>
      </w:r>
      <w:r>
        <w:rPr>
          <w:rFonts w:ascii="Arial" w:cs="Arial" w:eastAsia="Arial" w:hAnsi="Arial"/>
          <w:sz w:val="16"/>
          <w:szCs w:val="16"/>
          <w:i w:val="1"/>
          <w:iCs w:val="1"/>
          <w:color w:val="auto"/>
        </w:rPr>
        <w:t xml:space="preserve">in utero </w:t>
      </w:r>
      <w:r>
        <w:rPr>
          <w:rFonts w:ascii="Arial" w:cs="Arial" w:eastAsia="Arial" w:hAnsi="Arial"/>
          <w:sz w:val="16"/>
          <w:szCs w:val="16"/>
          <w:color w:val="auto"/>
        </w:rPr>
        <w:t>have generated and may continue to create negative public perception about the use of the technology in humans. Negative public and</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perception of the technology, or additional governmental regulation of our technologies, could also adversely affect our stock price or our ability to enter into revenue generating collaborations or obtain additional funding from the public markets.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Competition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The possibility that our competitors may achieve regulatory approval before we do or develop therapies that are more advanced or effective than ours may harm our business and financial condition or our ability to successfully market or commercialize our product candidates.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biotechnology and pharmaceutical industries are extremely competitive in the race to develop new products. While we believe we have significant competitive advantages with our industry-leading expertise in genome editing, clinical development expertise and dominant IP position, we currently face and will continue to face competition for our development programs from companies that use genome editing or gene therapy development platforms and from companies focused on more traditional therapeutic modalities such as small molecules and antibodies. The competition is likely to come from multiple sources, including large and specialty pharmaceutical and biotechnology companies, academic research institutions, government agencies and public and private research institutions. Many of these competitors may have access to greater capital and resources than us. For any products that we may ultimately commercialize, not only will we compete with any existing therapies and those therapies currently in development, but we will also have to compete with new therapies that may become available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Competitors in our efforts to provide genetic therapies to patients can be grouped into at least three sets based on their product discovery platforms:</w:t>
      </w:r>
    </w:p>
    <w:p>
      <w:pPr>
        <w:spacing w:after="0" w:line="2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platform and product focus are on the development of therapies using CRISPR/Cas9 gene-editing technology. Genome editing companies focused on CRISPR based technologies include: Beam Therapeutics Inc., Caribou Biosciences, Inc., CRISPR Therapeutics AG, Editas Medicine, Inc. and ToolGen, Inc.</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are also companies developing therapies using additional gene-editing technologies, which include Allogene Therapeutics, Inc., bluebird bio, Inc., Cellectis S.A., Precision Biosciences, Inc., Sangamo Therapeutics, Inc., Homology Medicines, Inc. and Poseida Therapeutics, Inc.</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are also aware of companies developing therapies in various areas related to our specific research and development programs. In immuno-oncology, these companies include Allogene Therapeutics, Inc., Precision BioSciences, Inc., CRISPR Therapeutics AG, Cellectis S.A. and Editas Medicine, Inc. In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vivo</w:t>
      </w:r>
      <w:r>
        <w:rPr>
          <w:rFonts w:ascii="Arial" w:cs="Arial" w:eastAsia="Arial" w:hAnsi="Arial"/>
          <w:sz w:val="18"/>
          <w:szCs w:val="18"/>
          <w:color w:val="auto"/>
        </w:rPr>
        <w:t>, these companies include Editas Medicine, Inc., CRISPR Therapeutics AG, Locus Biosciences, Inc., Excision Biotherapeutics, Inc. and Precision</w:t>
      </w:r>
      <w:r>
        <w:rPr>
          <w:rFonts w:ascii="Arial" w:cs="Arial" w:eastAsia="Arial" w:hAnsi="Arial"/>
          <w:sz w:val="18"/>
          <w:szCs w:val="18"/>
          <w:i w:val="1"/>
          <w:iCs w:val="1"/>
          <w:color w:val="auto"/>
        </w:rPr>
        <w:t xml:space="preserve"> </w:t>
      </w:r>
      <w:r>
        <w:rPr>
          <w:rFonts w:ascii="Arial" w:cs="Arial" w:eastAsia="Arial" w:hAnsi="Arial"/>
          <w:sz w:val="18"/>
          <w:szCs w:val="18"/>
          <w:color w:val="auto"/>
        </w:rPr>
        <w:t>Biosciences, Inc.</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Specific to our NTLA-2001 program, we are aware of other companies that are currently commercializing or developing products used to treat TTR amyloidosis therapies, including Pfizer, Inc., Alnylam Pharmaceuticals, Inc., Ionis Pharmaceuticals, Inc., BridgeBio Pharma Inc. and Novo Nordisk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 xml:space="preserve">Our competitors will also include companies that are or will be developing other genome editing methods as well as small molecules, biologics,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therapies, engineered cell therapies (both autologous and allogeneic) and nucleic acid-based therapies for the same indications that we are targeting with our CRISPR/Cas9-based therapeutics.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advances in gene therapy, engineered cell therapies or genome editing technology made by a competitor may be used to develop therapies that could compete against any of our product candidates.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Many of these competitors have substantially greater research and development capabilities and financial, scientific, technical, intellectual property, manufacturing, marketing, distribution and other resources than we do, and we may not be able to successfully compete with them.</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selecting and developing any product candidates, in order to compete successfully we may need to be first-to-market or demonstrate that our CRISPR/Cas9-based products are superior to therapies based on the same or different treatment methods. If we are not first-to-market or are unable to demonstrate such superiority, any products for which we are able to obtain approval may not be commercially successful. Furthermore, in certain jurisdictions, if a competitor has orphan drug status for a product and if our product candidate is determined to be contained within the scope of a competitor’s orphan drug exclusivity, then approval of our product for that indication or disease could potentially be blocked, for example, for up to seven years in the U.S. and 10 years in the EU.</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Industry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Results, including data from our preclinical and clinical studies, are not necessarily predictive of our other ongoing and future preclinical and clinical studies, and they do not guarantee or indicate the likelihood of approval of any potential product candidate by the FDA or any other regulatory agency. If we cannot replicate positive results from any of our preclinical or clinical activities and studies, we may be unable to successfully develop, obtain regulatory approval for and commercialize any potential product candidate.</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disclose interim data from our clinical trials, such as the interim results of our ongoing Phase 1 clinical study of NTLA-2001. Interim data from clinical trials that have not been completed are subject to the risk that one or more of the clinical outcomes may materially change as patient enrollment continues and more patient data become available or as patients from our clinical trials continue other treatments for their disease. We also make assumptions, estimations, calculations and conclusions as part of our analyses of data, and we may not have received or had the opportunity to fully and carefully evaluate all data. As a result, results that we report may differ from future results of the same studies, or different conclusions or considerations may qualify such results, once additional data have been received and fully evaluated. As a result, interim data should be viewed with caution until we make the final data and analysis available.</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there is a high failure rate, as well as potential substantial and unanticipated delays, for product candidates progressing through preclinical and clinical studies. Even if we are able to successfully complete our ongoing and future preclinical and clinical activities and studies for any potential product candidate, we may not be able to replicate, or may have to engage in significant efforts and resource and time investments to replicate, any positive results from these or any other studies in any of our future preclinical and clinical trials, and they do not guarantee approval of any potential product candidate by the FDA or any other necessary regulatory authorities in a timely manner or at all. For more information regarding these risks, see also the above risk factor section entitled “</w:t>
      </w:r>
      <w:r>
        <w:rPr>
          <w:rFonts w:ascii="Arial" w:cs="Arial" w:eastAsia="Arial" w:hAnsi="Arial"/>
          <w:sz w:val="18"/>
          <w:szCs w:val="18"/>
          <w:u w:val="single" w:color="auto"/>
          <w:color w:val="auto"/>
        </w:rPr>
        <w:t>Risks Related to Clinical Development”.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Inconclusive results, lack of efficacy, adverse events or additional safety concerns in clinical trials that we or others conduct may impede the regulatory approval process or overall market acceptance of our future product candidates.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Therapeutic applications of genome editing technologies, and CRISPR/Cas9 in particular, for both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products and in engineered cell therapies, are unproven and must undergo rigorous clinical trials and regulatory review before receiving marketing authorization. If the results of our clinical studies or those of any other third parties, including with respect to genome editing technology or engineered cell therapies, are inconclusive, fail to show efficacy or if such clinical trials give rise to safety concerns or adverse events, we may: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ind w:left="1060" w:hanging="52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prevented from, or delayed in, obtaining marketing approval for our future product candidates;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be subject to the addition of labeling statements, such as warnings or contraindications, or other types of regulatory restrictions or scrutiny;</w:t>
      </w:r>
    </w:p>
    <w:p>
      <w:pPr>
        <w:spacing w:after="0" w:line="167" w:lineRule="exact"/>
        <w:rPr>
          <w:rFonts w:ascii="Arial" w:cs="Arial" w:eastAsia="Arial" w:hAnsi="Arial"/>
          <w:sz w:val="16"/>
          <w:szCs w:val="16"/>
          <w:color w:val="auto"/>
        </w:rPr>
      </w:pPr>
    </w:p>
    <w:p>
      <w:pPr>
        <w:ind w:left="1060" w:hanging="52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55" w:lineRule="exact"/>
        <w:rPr>
          <w:rFonts w:ascii="Arial" w:cs="Arial" w:eastAsia="Arial" w:hAnsi="Arial"/>
          <w:sz w:val="17"/>
          <w:szCs w:val="17"/>
          <w:color w:val="auto"/>
        </w:rPr>
      </w:pPr>
    </w:p>
    <w:p>
      <w:pPr>
        <w:jc w:val="both"/>
        <w:ind w:left="1060" w:hanging="526"/>
        <w:spacing w:after="0" w:line="263"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regulatory authorities modify or withdraw their legal requirements or written guidance, if any, regarding the applicable regulatory approval pathway or any approval of the product in question, or impose restrictions on its distribution in the form of a modified Risk Evaluation and Mitigation Strategy (“REMS”) or similar strategy;</w:t>
      </w:r>
    </w:p>
    <w:p>
      <w:pPr>
        <w:spacing w:after="0" w:line="75" w:lineRule="exact"/>
        <w:rPr>
          <w:rFonts w:ascii="Arial" w:cs="Arial" w:eastAsia="Arial" w:hAnsi="Arial"/>
          <w:sz w:val="18"/>
          <w:szCs w:val="18"/>
          <w:color w:val="auto"/>
        </w:rPr>
      </w:pPr>
    </w:p>
    <w:p>
      <w:pPr>
        <w:ind w:left="1060" w:hanging="52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our future product candidates could potentially cause other adverse events that have not yet been predicted and the potentially permanent nature of genome editing effects, including CRISPR/Cas9’s effects, on genes or novel cell therapies in the organs of the human body may make these adverse events irreversible. The inclusion of critically ill patients in our clinical studies or those of our competitors may result in deaths or other adverse medical events, including those due to other therapies or medications that such patients may be using. Any of these events could prevent us from achieving or maintaining regulatory approval or market acceptance of our future product candidates and impair our ability to achieve profitability.</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may not be successful in our efforts to use and enhance our genome editing technology to create a pipeline of product candidates, establish the necessary manufacturing capabilities, obtain regulatory approval and develop commercially successful products, or we may expend our limited resources on programs that do not yield a successful product candidate and fail to capitalize on potential product candidates or diseases that may be more profitable or for which there is a greater likelihood of success. If we fail to develop product candidates, our commercial opportunity, if any, will be limited.</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at an early stage of development and our technology and approach has not yet led, and may never lead, to the approval or commercialization of any of our product candidates, including NTLA-2001 for ATTR amyloidosis, or for other product candidates being deemed appropriate for clinical development and ultimately approval, including NTLA-2002 for HAE or NTLA-5001 for AML, by a regulatory agency. Even if we are successful in building our pipeline of product candidates, completing clinical development, establishing the necessary manufacturing processes and capabilities, obtaining regulatory approvals and commercializing product candidates will require substantial additional funding and are subject to the risks of failure inherent in therapeutic product development. Investment in biopharmaceutical product development involves significant risk that any potential product candidate will fail to demonstrate acceptable safety and efficacy profiles, gain regulatory approval, or become commercially viable.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provide any assurance that we will be able to successfully advance any of our product candidates, including NTLA-2001, NTLA-2002 or NTLA-5001, through the entire research and development process. Any of our other programs may show promise, yet fail to yield product candidates for clinical development or commercialization for many reasons. For more information regarding these risks, see the above risk factor section entitled “</w:t>
      </w:r>
      <w:r>
        <w:rPr>
          <w:rFonts w:ascii="Arial" w:cs="Arial" w:eastAsia="Arial" w:hAnsi="Arial"/>
          <w:sz w:val="18"/>
          <w:szCs w:val="18"/>
          <w:u w:val="single" w:color="auto"/>
          <w:color w:val="auto"/>
        </w:rPr>
        <w:t>Risks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Related to Clinical Development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any product candidates, such candidates may not gain market acceptance among physicians, patients, hospitals, third-party payors and others in the medical community.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use of the CRISPR/Cas9 system to create genome editing-based therapies is a recent development and may not become broadly accepted by patients, health care providers, third-party payors and other stakeholders. A variety of factors will influence whether our product candidates are accepted in the market, including, for example:</w:t>
      </w:r>
    </w:p>
    <w:p>
      <w:pPr>
        <w:spacing w:after="0" w:line="76" w:lineRule="exact"/>
        <w:rPr>
          <w:sz w:val="20"/>
          <w:szCs w:val="20"/>
          <w:color w:val="auto"/>
        </w:rPr>
      </w:pPr>
    </w:p>
    <w:p>
      <w:pPr>
        <w:ind w:left="1060" w:hanging="52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incidence and severity of any side effects, including any unintended DNA changes;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other regulatory authorities;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or existence of competitive products;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upfront costs or training required for health care providers to administer our product candidates;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adequate coverage, reimbursement and pricing by government authorities and other third-party payors;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patients’ ability to access health care providers capable of delivering our product candidates;</w:t>
      </w:r>
    </w:p>
    <w:p>
      <w:pPr>
        <w:spacing w:after="0" w:line="144"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patients’ willingness and ability to pay out-of-pocket in the absence of coverage and reimbursement by government authorities and other third-party payors;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adverse events for any products developed, or negative interactions with regulatory agencies, by us or others in the gene therapy and genome editing fields; and</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distribution support.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Even if our products achieve market acceptance, we may not be able to maintain that market acceptance over time if new products or technologies are introduced that are more favorably received than our products, are more cost effective or render our products obsolete. In addition, adverse publicity due to the ethical and social controversies surrounding the therapeutic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use of CRISPR/Cas9, gene edited modified cells, or other therapeutics mediums, such as viral vectors that we may use in our clinical trials may limit market acceptance of our product candidates. If our product candidates are approved but fail to achieve market acceptance among physicians, patients, hospitals, third-party payors or others in the medical community, we will not be able to generate significant revenue. Our efforts to educate the health care providers, patients and third-party payors about our products may require significant resources and may never be successful.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Healthcare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if approved, which could make it difficult for us to sell any product candidates or therapies profitably.</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success of our product candidates, if approved, depends on the availability of adequate coverage and reimbursement from third-party payors, including government agencies, private health insurers and health maintenance organizations. There is significant uncertainty related to the insurance coverage and reimbursement of any newly approved product, but in particular novel gene editing and engineered cell products. All the therapeutic indications approved by the relevant authorities may not be covered or reimbursed. In addition, we cannot be sure that coverage and reimbursement will be available for, or accurately estimate the potential revenue from, our product candidates because they are novel treatments for diseases using a new technology and delivery approaches.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U.S. and some other jurisdictions, patients generally rely on third-party payors to reimburse all or part of the costs associated with their treatment. Adequate coverage and reimbursement from governmental healthcare programs, such as Medicare and Medicaid in the U.S., and commercial payors are critical to new product acceptance.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17"/>
          <w:szCs w:val="17"/>
          <w:color w:val="auto"/>
        </w:rPr>
        <w:t>Government authorities and other third-party payors, such as private health insurers and health maintenance organizations, decide which drugs and treatments they will cover and the amount of reimbursement. In the U.S., the principal decisions about reimbursement for new medicines are typically made by the Centers for Medicare &amp; Medicaid Services (“CMS”), an agency within the U.S. Department of Health and Human Services. CMS decides whether and to what extent a new medicine will be covered and reimbursed under Medicare, and private payors often follow CMS’ coverage decisions. Other jurisdictions have agencies, such as the National Institute for Health and Care Excellence (“NICE”) in the U.K., that evaluate the use and cost-effectiveness of therapies, which impact the utilization and price of the medicine in such jurisdiction.</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U.S., no uniform policy of coverage and reimbursement for products exists among third-party payors. As a result, obtaining coverage and reimbursement approval of a product from a third-party payor is a time-consuming and costly process that could require us to provide supporting scientific, clinical and cost-effectiveness data for the use of our products to each potential payor, with no assurance that coverage and adequate reimbursement will be obtained from all or any of them. Even if we obtain coverage for a given product, the resulting reimbursement payment rates might be insufficient or may require co-payments that patients find unacceptably high, which may prevent us from achieving or sustaining profitability. Additionally, third-party payors may not cover, or provide adequate reimbursement for, long-term follow-up evaluations required following the use of our gene-modifying products.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each country in which we seek approval to market our product candidates has unique laws and market practices regulating coverage and reimbursement for human therapeutics. Market acceptance and sales of our products in each country will depend on our ability to meet each of these jurisdiction’s requirements for coverage and reimbursement. Further, changes to the country’s existing requirements may also affect our ability to commercialize our products in the future, or achieve profitability from their sale.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political and economic uncertainty surrounding the exit of the United Kingdom from the EU is a source of instability and uncertainty.</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U.K.’s withdrawal from the EU, or Brexit, became effective on January 31, 2020. EU laws, including pharmaceutical laws, continued to apply in the U.K. during a transitional period, which ended on December 31, 2020. On December 24, 2020, the U.K. and EU signed an EU-U.K. Trade and Cooperation Agreement, which became provisionally applicable on January 1, 2021 and has been formally applicable since May 1, 2021. Although this agreement is comprehensive and provides some details on how aspects of the U.K. and EU’s relationship regarding medicinal products will operate, particularly in relation to Good Manufacturing Practice, it does not cover many areas of regulation pertinent to the biopharmaceutical industry, so many complexities remain. Many of the regulations that now apply in the U.K. following the transition period (including financial laws and regulations, tax, intellectual property rights, data protection laws, supply chain logistics, environmental, health and safety laws and regulations, medicine approval and regulations, immigration laws and employment laws), will likely be amended in future as the U.K. determines its new approach, which may result in significant divergence from EU regulations. This lack of clarity on future U.K. laws and regulations and their interaction with the EU laws and regulations increases our regulatory burden of operating in and doing business with both the U.K. and the EU.</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long-term effects of Brexit will depend in part on how the EU-U.K. Trade and Cooperation Agreement, and any future agreements signed by the U.K. and the EU, take effect in practice. Such a withdrawal from the EU is unprecedented, and it is unclear how the restrictions on the U.K.’s access to the European single market for goods, capital, services and labor within the EU and the wider commercial, legal and regulatory environment, could impact our current and future operations and clinical activities in the U.K.</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also face new regulatory costs and challenges that could have an adverse effect on our operations as a result of Brexit. Since the regulatory framework in the U.K. covering quality, safety and efficacy of medicinal products, clinical trials, marketing authorization, commercial sales and distribution of medicinal products is derived from EU directives and regulations, Brexit could materially impact the future regulatory regime with respect to the approval of any of our future product candidates in the U.K., because U.K. legislation has the potential to diverge from EU legislation. For instance, Great Britain will now no longer be covered by the centralized procedure for obtaining European Economic Area (“EEA”)-wide marketing authorizations from the EMA for medicinal products and a separate process for authorization of drug products will be required in Great Britain, except, however, that under the Northern Ireland Protocol between the EU and the U.K., the EU regulatory framework will continue to apply in Northern Ireland and centralized EU authorizations will continue to be recognized in Northern Ireland only. For a period of two years from January 1, 2021, the MHRA may rely on a decision taken by the European Commission on the approval of a new marketing authorization in the centralized procedure, in order to more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quickly grant a new Great Britain marketing authorization, however a separate application will still be required. Any delay in obtaining, or an inability to obtain, any regulatory approvals, as a result of Brexit or otherwise, would delay or prevent us from commercializing our current or future product candidates in the U.K. and could restrict our ability to generate revenue from that market.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that, now the transition period has expired, Brexit could lead to legal uncertainty and potentially divergent national laws and regulations as the U.K. determines which EU laws to replicate or replace, including those related to the regulation of medicinal products. Any of these effects of Brexit, and others we cannot anticipate, could negatively impact our business and results of operations in the U.K.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uncertainty concerning the U.K.’s legal, political and economic relationship with the EU following Brexit may also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physician payment transparency laws, health information privacy and security laws and anti-corruption laws. If we are unable to comply, or have not fully complied, with such laws or their relevant foreign counterparts, we could face substantial penalties.</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sale, distribution and marketing of human therapeutics, as well as data privacy and the relationship with health care providers, are strictly regulated by laws in the US and most other jurisdictions in which we intend to seek approval for our product candidates. Failure to comply with these laws could impair our ability to properly sell our product candidates in particular jurisdictions and subject us to liability from private and governmental entities. In addition, addressing these diverse and sometimes contradictory requirements in myriad jurisdictions may necessitate that we expend significant resources on compliance efforts. Any failure to comply with these requirements may leave us exposed to possible enforcement actions and potential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laws that may affect our ability to operate include:</w:t>
      </w:r>
    </w:p>
    <w:p>
      <w:pPr>
        <w:spacing w:after="0" w:line="117" w:lineRule="exact"/>
        <w:rPr>
          <w:sz w:val="20"/>
          <w:szCs w:val="20"/>
          <w:color w:val="auto"/>
        </w:rPr>
      </w:pPr>
    </w:p>
    <w:p>
      <w:pPr>
        <w:jc w:val="both"/>
        <w:ind w:left="1060" w:hanging="526"/>
        <w:spacing w:after="0" w:line="275"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Anti-Kickback Statute, which generally prohibits, among other things, knowingly and willfully soliciting, receiving, offering or paying any remuneration (including any kickback, bribe, or certain rebates) for referring an individual or inducing a transaction for which payment may be made under a federal healthcare program, such as the Medicare and Medicaid programs. A person or entity does not need to have actual knowledge of the statute or specific intent to violate it in order to have committed a violation. Violators are subject to civil and criminal fines and penalties, as well as imprisonment and exclusion from government healthcare programs;</w:t>
      </w:r>
    </w:p>
    <w:p>
      <w:pPr>
        <w:spacing w:after="0" w:line="81" w:lineRule="exact"/>
        <w:rPr>
          <w:rFonts w:ascii="Arial" w:cs="Arial" w:eastAsia="Arial" w:hAnsi="Arial"/>
          <w:sz w:val="17"/>
          <w:szCs w:val="17"/>
          <w:color w:val="auto"/>
        </w:rPr>
      </w:pPr>
    </w:p>
    <w:p>
      <w:pPr>
        <w:jc w:val="both"/>
        <w:ind w:left="1060" w:hanging="526"/>
        <w:spacing w:after="0" w:line="271"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federal civil and criminal false claims laws, including the federal False Claims Act (“FCA”), which generally prohibit knowingly making false or fraudulent claims for payment or approval from the federal government, including Medicare, Medicaid and other government payors, or knowingly seeking to conceal, decrease or avoid an obligation to pay money to the federal government. Certain indirect acts, such as promoting products off-label, can be deemed FCA violations by a manufacturer even it did not submit the claim directly to the government payor. Further, under the Patient Protection and Affordable Care Act, as amended by the Health Care and Education Reconciliation Act of 2010 (collectively, the “Affordable Care Act”, or “ACA”), a violation of the federal Anti-Kickback Statute may also constitute a false or fraudulent claim under the FCA. These laws impose criminal and civil penalties on violators. Private individuals may bring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for alleged FCA violations on behalf of the federal government;</w:t>
      </w:r>
    </w:p>
    <w:p>
      <w:pPr>
        <w:spacing w:after="0" w:line="70" w:lineRule="exact"/>
        <w:rPr>
          <w:rFonts w:ascii="Arial" w:cs="Arial" w:eastAsia="Arial" w:hAnsi="Arial"/>
          <w:sz w:val="17"/>
          <w:szCs w:val="17"/>
          <w:color w:val="auto"/>
        </w:rPr>
      </w:pPr>
    </w:p>
    <w:p>
      <w:pPr>
        <w:jc w:val="both"/>
        <w:ind w:left="1060" w:hanging="526"/>
        <w:spacing w:after="0" w:line="27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 federal physician payment transparency requirements, sometimes referred to as the “Physician Payments Sunshine Act,” created under the ACA, and their implementing regulations, which require manufacturers of certain products paid under Medicare, Medicaid or the Children’s Health Insurance Program, including biopharmaceutical products, to report information related to payments or other consideration made to physicians (defined to include doctors, dentists, optometrists, podiatrists and chiropractors), other healthcare providers and teaching hospitals, as well as ownership and investment interests held by these healthcare providers and their immediate family members in the manufacturer. Failure to comply could result in civil monetary penalties. Effective January 1, 2022, the U.S. federal physician transparency reporting requirements will extend to include transfers of value made to certain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ind w:left="1060"/>
        <w:spacing w:after="0" w:line="277" w:lineRule="auto"/>
        <w:rPr>
          <w:sz w:val="20"/>
          <w:szCs w:val="20"/>
          <w:color w:val="auto"/>
        </w:rPr>
      </w:pPr>
      <w:r>
        <w:rPr>
          <w:rFonts w:ascii="Arial" w:cs="Arial" w:eastAsia="Arial" w:hAnsi="Arial"/>
          <w:sz w:val="18"/>
          <w:szCs w:val="18"/>
          <w:color w:val="auto"/>
        </w:rPr>
        <w:t>non-physician providers (physician assistants, nurse practitioners, clinical nurse specialists, certified registered nurse anesthetists &amp; anesthesiologist assistants, and certified nurse-midwives);</w:t>
      </w:r>
    </w:p>
    <w:p>
      <w:pPr>
        <w:spacing w:after="0" w:line="62" w:lineRule="exact"/>
        <w:rPr>
          <w:sz w:val="20"/>
          <w:szCs w:val="20"/>
          <w:color w:val="auto"/>
        </w:rPr>
      </w:pPr>
    </w:p>
    <w:p>
      <w:pPr>
        <w:jc w:val="both"/>
        <w:ind w:left="1060" w:hanging="526"/>
        <w:spacing w:after="0" w:line="286"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Foreign Corrupt Practices Act (“FCPA”) and other laws, which generally prohibit improper payments or offers of payments to foreign governments and their officials and political parties by U.S. persons and entities to obtain or retain business. In the U.K., for example, the U.K. Bribery Act 2010 prohibits giving financial or other advantages to encourage persons to perform their functions improperly;</w:t>
      </w:r>
    </w:p>
    <w:p>
      <w:pPr>
        <w:spacing w:after="0" w:line="57" w:lineRule="exact"/>
        <w:rPr>
          <w:rFonts w:ascii="Arial" w:cs="Arial" w:eastAsia="Arial" w:hAnsi="Arial"/>
          <w:sz w:val="17"/>
          <w:szCs w:val="17"/>
          <w:color w:val="auto"/>
        </w:rPr>
      </w:pPr>
    </w:p>
    <w:p>
      <w:pPr>
        <w:ind w:left="1060" w:hanging="52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the commercialization of adulterated or misbranded drugs, and the Public Health Service Act, which prohibits the commercialization of biological products without a biologics license;</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analogous state and foreign legal requirements that:</w:t>
      </w:r>
    </w:p>
    <w:p>
      <w:pPr>
        <w:spacing w:after="0" w:line="144" w:lineRule="exact"/>
        <w:rPr>
          <w:rFonts w:ascii="Arial" w:cs="Arial" w:eastAsia="Arial" w:hAnsi="Arial"/>
          <w:sz w:val="18"/>
          <w:szCs w:val="18"/>
          <w:color w:val="auto"/>
        </w:rPr>
      </w:pPr>
    </w:p>
    <w:p>
      <w:pPr>
        <w:jc w:val="both"/>
        <w:ind w:left="2920" w:hanging="401"/>
        <w:spacing w:after="0" w:line="263" w:lineRule="auto"/>
        <w:tabs>
          <w:tab w:leader="none" w:pos="2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may apply to sales or marketing arrangements and claims involving healthcare items or services reimbursed by non-governmental third-party payors, including private insurers, and may be broader in scope than their federal equivalents, such as state anti-kickback and false claims laws;</w:t>
      </w:r>
    </w:p>
    <w:p>
      <w:pPr>
        <w:spacing w:after="0" w:line="75" w:lineRule="exact"/>
        <w:rPr>
          <w:rFonts w:ascii="Arial" w:cs="Arial" w:eastAsia="Arial" w:hAnsi="Arial"/>
          <w:sz w:val="18"/>
          <w:szCs w:val="18"/>
          <w:color w:val="auto"/>
        </w:rPr>
      </w:pPr>
    </w:p>
    <w:p>
      <w:pPr>
        <w:ind w:left="2920" w:hanging="401"/>
        <w:spacing w:after="0" w:line="277" w:lineRule="auto"/>
        <w:tabs>
          <w:tab w:leader="none" w:pos="2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require following the pharmaceutical industry’s voluntary compliance guidelines and the federal government’s relevant compliance guidance, or otherwise restrict payments to healthcare providers;</w:t>
      </w:r>
    </w:p>
    <w:p>
      <w:pPr>
        <w:spacing w:after="0" w:line="62" w:lineRule="exact"/>
        <w:rPr>
          <w:rFonts w:ascii="Arial" w:cs="Arial" w:eastAsia="Arial" w:hAnsi="Arial"/>
          <w:sz w:val="18"/>
          <w:szCs w:val="18"/>
          <w:color w:val="auto"/>
        </w:rPr>
      </w:pPr>
    </w:p>
    <w:p>
      <w:pPr>
        <w:ind w:left="2920" w:hanging="401"/>
        <w:spacing w:after="0" w:line="277" w:lineRule="auto"/>
        <w:tabs>
          <w:tab w:leader="none" w:pos="2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require reporting information related to payments and other consideration to physicians and other healthcare providers or marketing expenditures; and</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national and local laws that govern the distribution and sale of pharmaceuticals, including imposing requirements regarding licensing, record-keeping, storage and security requirements.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scope and enforcement of each of these laws is not always certain and is subject to legislative, judicial or prosecutorial changes. Further, because of the breadth of these laws, it is possible that some of our business activities could be subject to challenge under one or more of such laws. Indeed, U.S. federal and state enforcement bodies have increasingly scrutinized healthcare companies and providers interactions, which has led to a number of investigations, prosecutions, convictions and settlements in the industry. Ensuring business arrangements comply with applicable laws, as well as responding to possible investigations by government authorities, can be time- and resource-consuming and can divert a company’s attention from its business.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increasingly global nature of our business operations, including clinical development efforts, subjects us to domestic and foreign anti-bribery and anti-corruption laws and regulations, such as the FCPA and the U.K. Bribery Act. These activities create the risk of unauthorized payments or offers of payments that are prohibited under the FCPA, the U.K. Bribery Act or similar laws. It is our policy to implement safeguards to discourage these practices by our employees and agents. However, these safeguards may ultimately prove ineffective, and our employees, consultants, and agents may engage in conduct for which we might be held responsible. Violations of the FCPA may result in severe criminal or civil sanctions, and we may be subject to other liabilities, which could negatively affect our business, operating results and financial condition.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U.S. federal and state government, as well as other jurisdictions, have myriad laws regulating the collection, storage, distribution and use of data of employees, patients, agents, and others. These different laws governing the privacy and security of health and other personal information often differ from each other in significant ways and may not have the same effective requirements, thus complicating efforts to comply with their respective provisions. For example:</w:t>
      </w:r>
    </w:p>
    <w:p>
      <w:pPr>
        <w:spacing w:after="0" w:line="79" w:lineRule="exact"/>
        <w:rPr>
          <w:sz w:val="20"/>
          <w:szCs w:val="20"/>
          <w:color w:val="auto"/>
        </w:rPr>
      </w:pPr>
    </w:p>
    <w:p>
      <w:pPr>
        <w:jc w:val="both"/>
        <w:ind w:left="1060" w:hanging="526"/>
        <w:spacing w:after="0" w:line="275"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U.S., HIPAA, as amended by the Health Information Technology for Economic and Clinical Health Act of 2009 (“HITECH”), imposes requirements relating to the privacy, security and transmission of individually identifiable health information on certain covered healthcare providers, health plans, and healthcare clearinghouses, and their respective business associates that perform services for them that involve the use or disclosure of such information. These laws impose civil and criminal monetary penalties, and give state attorneys general the authority to file civil actions for damages or injunctions, and attorney’s fees, in federal courts to enforce the laws;</w:t>
      </w:r>
    </w:p>
    <w:p>
      <w:pPr>
        <w:spacing w:after="0" w:line="68" w:lineRule="exact"/>
        <w:rPr>
          <w:rFonts w:ascii="Arial" w:cs="Arial" w:eastAsia="Arial" w:hAnsi="Arial"/>
          <w:sz w:val="17"/>
          <w:szCs w:val="17"/>
          <w:color w:val="auto"/>
        </w:rPr>
      </w:pPr>
    </w:p>
    <w:p>
      <w:pPr>
        <w:ind w:left="1060" w:hanging="526"/>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California Consumer Privacy Act (“CCPA”) requires covered companies to provide new disclosures to California consumers and afford such consumers new rights with respect to their personal information, including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both"/>
        <w:ind w:left="1060"/>
        <w:spacing w:after="0" w:line="301" w:lineRule="auto"/>
        <w:rPr>
          <w:sz w:val="20"/>
          <w:szCs w:val="20"/>
          <w:color w:val="auto"/>
        </w:rPr>
      </w:pPr>
      <w:r>
        <w:rPr>
          <w:rFonts w:ascii="Arial" w:cs="Arial" w:eastAsia="Arial" w:hAnsi="Arial"/>
          <w:sz w:val="16"/>
          <w:szCs w:val="16"/>
          <w:color w:val="auto"/>
        </w:rPr>
        <w:t>the rights to: request deletion of their information, receive the information on record for them, know what categories of information are being maintained about them, and opt-out of certain sales of their information. The CCPA provides for civil penalties for violations, as well as a private right of action for certain data breaches that result in the loss of personal information, which may increase the likelihood of, and risks associated with, data breach litigation. The CCPA became effective in January 2020 and enforceable in July 2020;</w:t>
      </w:r>
    </w:p>
    <w:p>
      <w:pPr>
        <w:spacing w:after="0" w:line="49" w:lineRule="exact"/>
        <w:rPr>
          <w:sz w:val="20"/>
          <w:szCs w:val="20"/>
          <w:color w:val="auto"/>
        </w:rPr>
      </w:pPr>
    </w:p>
    <w:p>
      <w:pPr>
        <w:ind w:left="1060" w:hanging="526"/>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U.S. states, such as Massachusetts, Nevada, Illinois, Colorado, Virginia, Pennsylvania, Ohio, North Carolina, New Jersey and New York, have enacted and/or are considering laws that impose stringent privacy and/or data security requirements; and</w:t>
      </w:r>
    </w:p>
    <w:p>
      <w:pPr>
        <w:spacing w:after="0" w:line="62" w:lineRule="exact"/>
        <w:rPr>
          <w:rFonts w:ascii="Arial" w:cs="Arial" w:eastAsia="Arial" w:hAnsi="Arial"/>
          <w:sz w:val="18"/>
          <w:szCs w:val="18"/>
          <w:color w:val="auto"/>
        </w:rPr>
      </w:pPr>
    </w:p>
    <w:p>
      <w:pPr>
        <w:jc w:val="both"/>
        <w:ind w:left="1060" w:hanging="526"/>
        <w:spacing w:after="0" w:line="286" w:lineRule="auto"/>
        <w:tabs>
          <w:tab w:leader="none" w:pos="10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EU and EEA the collection and use of personal data is regulated by the General Data Protection Regulation (“GDPR”) and the members’ related data protection and privacy laws, and in the U.K. by its Data Protection Act 2018 and, as of January 1, 2021, the U.K. GDPR (such laws collectively being described as “European Data Protection Law”). Because the European Data Protection Law applies to any business that provides goods or services to individuals in the EU or U.K., it could apply to us. The European Data Protection Law imposes strict requirements, including special protections for “sensitive information,” which includes health and genetic information of individuals in the EU or the U.K.; expanded disclosures about the personal data use; information retention limitations; mandatory data breach notification requirements; and additional oversight obligations relating to third-parties retained to process the personal data. The European Data Protection Law grants or enhances the rights of individuals with respect to their personal data, including the rights to object to the processing of the data and request deletion of the same. It also has strict requirements on the transfer of personal data out of the EU or the U.K. to regions that have not been deemed to offer “adequate” privacy protections, such as the U.S. Failure to comply with the requirements of the European Data Protection Law may result in warning letters, mandatory audits, orders to cease/change the use of data, and financial penalties, including fines of up to 4% of global revenues, or 20,000,000 Euro, whichever is greater. Moreover, data subjects can seek damages for violations, and non-profit organizations can bring claims on behalf of data subjects.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costs associated with ensuring compliance with these laws, including in particular the European Data Protection Law, may be onerous and adversely affect our business, financial condition, results of operations and prospects. Further, due to Brexit, we may have additional costs and operational challenges in complying with the U.K. GDPR and any other developments regulation the transfer between the U.K. and EU. We may also need to rely on multiple third parties to meet these legal requirements, which could result in additional liability for us if they do not comply.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Efforts to ensure that we comply with all applicable healthcare and data privacy laws and regulations, as well as other domestic and foreign legal requirements, will involve substantial costs. It is possible that governmental and enforcement authorities in the U.S. or outside the U.S. will conclude that our business practices do not comply with current or future legal requirements. If any noncompliance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individual imprisonment, exclusion from participation in federal health care programs (such as Medicare and Medicaid), contractual damages, reputational harm, diminished profits and future earnings, and curtailment or restructuring of our operations, as well as additional reporting obligations and oversight if we become subject to a corporate integrity agreement or similar agreement to resolve allegations of non-compliance with these laws, any of which could adversely affect our ability to operate our business and our results of operations. Any action for violation of these laws, even if successfully defended, could result in significant legal expenses and divert management’s attention from the operation of the business. Prohibitions or restrictions on sales (including importation or exportation) or withdrawal of future marketed products could materially affect business in an adverse way.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Healthcare cost control initiatives, including healthcare legislative and regulatory reform measures, may have a material adverse effect on our business and results of operations.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and many other jurisdictions have enacted or proposed legal changes affecting the healthcare system that could prevent or delay marketing approval of our product candidates, affect our ability to profitably sell our product candidates once approved, and restrict or regulate post-approval activities. Changes in the legal requirements, or their interpretation, could impact our business by compelling, for example, modification to: our manufacturing arrangements; product labeling; pricing and reimbursement arrangements; private or governmental insurance coverage; the sale practices for, or availability of, our products; or record-keeping activities. If any such changes were to be imposed, they could adversely affect the operation of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both"/>
        <w:spacing w:after="0" w:line="27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the U.S. and certain other jurisdictions, there have been, and are expected to continue to be, a number of legislative and regulatory changes to the health care system that could impact our ability to sell our products profitably. In the U.S., however, significant uncertainty exists regarding the provision and financing of health care because the newly elected administration and federal legislators have publicly declared their intention to review and potentially significantly modify the current legal and regulatory framework for the health care system.</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Current legislation at the U.S. federal and state levels seeks to reduce healthcare costs and improve the quality of healthcare. For example, the U.S. Affordable Care Act, enacted in March 2010, subjected biologic products to potential competition by lower-cost biosimilars; introduced a new methodology to calculate manufacturers’ rebates under the Medicaid Drug Rebate Program for certain drugs, including infused or injected drugs; increased manufacturers’ minimum Medicaid rebates under the Medicaid Drug Rebate Program; extended the Medicaid Drug Rebate program to pharmaceutical prescriptions of individuals enrolled in Medicaid managed care organizations; imposed new annual fees and taxes for certain branded prescription drugs and biologic agents; created the Medicare Part D coverage gap discount program, in which manufacturers must agree to offer 70% point-of-sale discounts as of January 1, 2019, off negotiated prices on certain brand drugs to eligible beneficiaries during their coverage gap period, as a condition for the manufacturer’s outpatient drugs to be covered under Medicare Part D; and provided incentives to programs that increase the federal government’s comparative effectiveness research. At this time, the full effect that the Affordable Care Act would have on our business remains unclear.</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and we expect there will be additional challenges and amendments to the ACA in the future. The Tax Cuts and Jobs Act of 2017 (“Tax Act”) includes a provision that decreased the tax-based shared responsibility payment imposed by the ACA on certain individuals who fail to maintain qualifying health coverage for all or part of a year,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Following an appeal by certain defendants, on June 17, 2021, the U.S. Supreme Court dismissed the plaintiffs’ challenge to the ACA for lack of standing without specifically ruling on the constitutionality of the ACA, and reversed the Fifth Circuit’s judgment and remanded the case with instructions to dismiss. It is unclear how other healthcare reform measures of the Biden administrations or other efforts, if any, to challenge, repeal or replace the ACA, will impact our business.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legislative changes relevant to the health care system have been adopted in the U.S. since the Affordable Care Act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due to subsequent legislative amendments, will remain in effect through 2030 unless additional Congressional action is taken. However, pursuant to the Coronavirus Aid, Relief and Economic Security Act (the “CARES Act”) and subsequent legislation, the Medicare sequester reductions under the Budget Contract Act of 2011 have been suspended from May 1, 2020 through December 31, 2021 due to the COVID-19 pandemic. Proposed legislation, if passed, would extend this suspension until the end of the pandemic. In January 2013, the American Taxpayer Relief Act of 2012 was signed into law, which, among other things, further reduced Medicare payments to several providers, including hospitals, imaging centers, cancer centers and other treatment centers, and increased the statute of limitations period for the government to recover overpayments to providers from three to five years.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w:t>
      </w:r>
      <w:r>
        <w:rPr>
          <w:rFonts w:ascii="Arial" w:cs="Arial" w:eastAsia="Arial" w:hAnsi="Arial"/>
          <w:sz w:val="18"/>
          <w:szCs w:val="18"/>
          <w:color w:val="242424"/>
        </w:rPr>
        <w:t>n July 9, 2021, President Biden issued an executive order directing the FDA to, among other things, work with states and tribes to safely</w:t>
      </w:r>
      <w:r>
        <w:rPr>
          <w:rFonts w:ascii="Arial" w:cs="Arial" w:eastAsia="Arial" w:hAnsi="Arial"/>
          <w:sz w:val="18"/>
          <w:szCs w:val="18"/>
          <w:color w:val="auto"/>
        </w:rPr>
        <w:t xml:space="preserve"> </w:t>
      </w:r>
      <w:r>
        <w:rPr>
          <w:rFonts w:ascii="Arial" w:cs="Arial" w:eastAsia="Arial" w:hAnsi="Arial"/>
          <w:sz w:val="18"/>
          <w:szCs w:val="18"/>
          <w:color w:val="242424"/>
        </w:rPr>
        <w:t>import prescription drugs from Canada and to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w:t>
      </w:r>
      <w:r>
        <w:rPr>
          <w:rFonts w:ascii="Arial" w:cs="Arial" w:eastAsia="Arial" w:hAnsi="Arial"/>
          <w:sz w:val="18"/>
          <w:szCs w:val="18"/>
          <w:color w:val="000000"/>
        </w:rPr>
        <w:t>. It is unclear whether the FDA will make changes or additions to current requirements and procedures relating to BLAs and, if so, how such</w:t>
      </w:r>
      <w:r>
        <w:rPr>
          <w:rFonts w:ascii="Arial" w:cs="Arial" w:eastAsia="Arial" w:hAnsi="Arial"/>
          <w:sz w:val="18"/>
          <w:szCs w:val="18"/>
          <w:color w:val="242424"/>
        </w:rPr>
        <w:t xml:space="preserve"> </w:t>
      </w:r>
      <w:r>
        <w:rPr>
          <w:rFonts w:ascii="Arial" w:cs="Arial" w:eastAsia="Arial" w:hAnsi="Arial"/>
          <w:sz w:val="18"/>
          <w:szCs w:val="18"/>
          <w:color w:val="000000"/>
        </w:rPr>
        <w:t>changes or additions could impact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293"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As indicated previously, significant uncertainty exists regarding the future scope and effect of current health care legislation and regulations because of recent changes in U.S. executive and legislative branches, and elected officials’ public declarations of their intention to significantly modify or repeal the current legislative framework. We cannot predict the initiatives that may be adopted in the future, any of which could limit or modify the amounts that foreign, federal and state governments as well as private payors, including patients, will pay for healthcare products and services, which could result in reduced demand for our product candidates or additional pricing pressures.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Manufacturing and Supply</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 vivo </w:t>
      </w:r>
      <w:r>
        <w:rPr>
          <w:rFonts w:ascii="Arial" w:cs="Arial" w:eastAsia="Arial" w:hAnsi="Arial"/>
          <w:sz w:val="18"/>
          <w:szCs w:val="18"/>
          <w:b w:val="1"/>
          <w:bCs w:val="1"/>
          <w:i w:val="1"/>
          <w:iCs w:val="1"/>
          <w:color w:val="auto"/>
        </w:rPr>
        <w:t>genome editing products and</w:t>
      </w:r>
      <w:r>
        <w:rPr>
          <w:rFonts w:ascii="Arial" w:cs="Arial" w:eastAsia="Arial" w:hAnsi="Arial"/>
          <w:sz w:val="18"/>
          <w:szCs w:val="18"/>
          <w:b w:val="1"/>
          <w:bCs w:val="1"/>
          <w:color w:val="auto"/>
        </w:rPr>
        <w:t xml:space="preserve"> ex vivo </w:t>
      </w:r>
      <w:r>
        <w:rPr>
          <w:rFonts w:ascii="Arial" w:cs="Arial" w:eastAsia="Arial" w:hAnsi="Arial"/>
          <w:sz w:val="18"/>
          <w:szCs w:val="18"/>
          <w:b w:val="1"/>
          <w:bCs w:val="1"/>
          <w:i w:val="1"/>
          <w:iCs w:val="1"/>
          <w:color w:val="auto"/>
        </w:rPr>
        <w:t>engineered cell therapies based on CRISPR/Cas9 genome editing technology are novel and may be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complex and difficult to manufacture. We could experience manufacturing problems that result in delays in the development, approval or commercialization of our product candidates or otherwise harm our business.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manufacturing process used to produce CRISPR/Cas9-based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engineered cell therapy product candidates may be complex, as they are novel and have not been validated for late phase clinical and commercial production and may require components that are difficult to obtain or manufacture at the necessary quantities and in accordance with regulatory requirements. Several factors could cause production interruptions, including equipment malfunctions; facility unavailability or contamination; raw material cost, shortages or contamination; natural disasters, such as the COVID-19 pandemic; disruption in utility services; human error; insufficient personnel; inability to meet legal or regulatory requirements; or disruptions in the operations of our suppliers.</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our product candidates likely will be regulated as biologics, their processing steps will be more complex than those of most small molecule drugs. Moreover, unlike small molecules, the physical and chemical properties of a complex product such as ours generally cannot be fully characterized. As a result, assays of the finished product or relevant components may not be sufficient to ensure that the product will perform in the intended manner. For this reason, we will employ multiple steps to control the manufacturing process to ensure that the process results in product candidates that meet their specifications, but complications at any one step could adversely impact our manufacturing of products. Further, we may encounter problems achieving adequate quantities and quality of clinical grade materials that meet the FDA or other relevant regulatory agency’s applicable standards or our specifications with consistent and acceptable production yields and costs. Manufacturing process irregularities, even minor deviations from the normal process, could result in product defects or manufacturing issues that cause lot failures, product recalls, product liability claims and litigation, insufficient inventory or production interruption. In addition, product manufacturing and supply could be delayed if the FDA and other regulatory authorities require us to submit lot samples, testing results and protocols, or if they require that we not distribute a lot until they authorize the product’s release.</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certain of our product candidates may require components that are unavailable or difficult to acquire or manufacture at the necessary scale and in compliance with regulatory requirements to support our clinical trials or, if approved, commercial efforts. In addition, we rely on third-party CMOs to manufacture these components and the final product candidates. We may not have full control of these CMOs and they may prioritize other customers or be unable to provide us with enough manufacturing capacity to meet our objectives. Even if we decide to manufacture the product candidates or their components ourselves, we may face extremely high costs and long timelines to build and maintain manufacturing facilities. Further, we may rely on CMOs outside the U.S. for certain components of our product candidates, and may be subject to importation regulations that may affect our ability to manufacture or increase the cost of our product candidates.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may encounter problems hiring and retaining the experienced scientific, quality-control and manufacturing personnel needed to operate or supervise the necessary manufacturing processes, which could result in delays in production or difficulties in maintaining compliance with applicable regulatory requirements.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manufacturing and supply issues or delays could restrict our ability to meet clinical or market demand for our products, and be costly to us and otherwise harm our business, financial condition, results of operations and prospects. Further, any problems in manufacturing processes or facilities could make us a less attractive collaborator for potential partners, including larger pharmaceutical companies and academic research institutions, which could limit our access to additional attractive development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t>Risks Related to Data and Privacy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operations and development efforts.</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increasingly dependent upon information technology systems, infrastructure, and data to operate our business. In the ordinary course of business, we collect, store, and transmit large amounts of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vendors who may or could have access to our confidential information. Our third-party collaborators, vendors and service providers also have access to large amounts of confidential information relating to our operations, including our research and development efforts. The size and complexity of our information technology systems, and those of third-party vendors, service providers and collaborators, and the large amounts of confidential information stored on those systems, make such systems potentially vulnerable to service interruptions or systems failures, or to security breaches from inadvertent or intentional actions by our employees, third-party vendors, service providers, collaborators, and/or business partners, or from cyber-attacks by malicious third parties.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such risks, the adoption of new technologies may also increase our exposure to cybersecurity breaches and failures. Further, having a significant portion of our workforce working from home for extended periods of time due to the COVID-19 pandemic puts us at greater risk of cybersecurity attacks. Cyber-attacks are increasing in their frequency, sophistication, and intensity, and have become increasingly difficult to detect. Cyber-attacks could include the deployment of harmful malware, denial-of-service attacks, social engineering, “phishing” scams and other means to affect service reliability and threaten the confidentiality, integrity, and availability of information. Significant disruptions of these information technology systems or security breaches could adversely affect our business operations and/or result in the loss, misappropriation, and/or unauthorized access, use, or disclosure of, or the prevention of access to, confidential information (including but not limited to trade secrets or other intellectual property, proprietary business information, and personal information), and could result in financial, legal, business, and reputational harm to us and would adversely affect our operations, including our discovery and research and development programs. For example, any such event that leads to unauthorized access, use, or disclosure of personal information, including personal information regarding our employees or current or future clinical trial participants, could harm our reputation, require us to comply with federal and/or state breach notification laws and foreign law equivalents (such as the GDPR or the U.K.’s Data Protection Act), and otherwise subject us to liability, including financial penalties and fines, under laws and regulations that protect the privacy and security of personal information. Also, the loss of preclinical or clinical trial data from completed or future preclinical or clinical trials, respectively,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Security breaches and other inappropriate access can be difficult to detect, and any delay in identifying them may lead to increased harm of the type summarized and described above. While we have implemented security measures to protect our information technology systems and infrastructure, there is no assurance that such measures will prevent service interruptions or security breaches that could adversely affect our business.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upon a variety of internet service providers, third-party web hosting facilities and cloud computing platform providers and Software as a Service vendors to support our business. Failure to maintain the security, confidentiality, accessibility or integrity of data stored on such systems could result in interruptions in our operations, damage our reputation in the market, increase our service costs, cause us to incur substantial costs, subject us to liability for damages and/or fines, and divert our resources from other tasks, any one of which could materially adversely affect our business, financial condition, results of operations and prospects.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do not have control over the operations of the facilities of our cloud service providers, Software as a Service vendors or our third-party web hosting providers, and they also may be vulnerable to damage or interruption from natural disasters,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cybersecurity attacks, terrorist attacks, power outages and similar events or acts of misconduct. In addition, any changes in these providers’ service levels may adversely affect our ability to meet our requirements and operate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regulatory agencies in and outside the U.S. may experience delays or backlogs due to the worldwide COVID-19 pandemic.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media platforms present new risks and challenges to our business.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social media continues to expand, it also presents us with new risks and challenges. Social media is increasingly being used to communicate information about the Company, our programs and the diseases our therapeutics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If any of these events were to occur or we otherwise fail to comply with applicable regulations, we could incur liability, face restrictive regulatory actions or incur other harm to our business including quick and irreversible damage to our reputation, brand image and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COVID-19 Pandemic</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Business interruptions resulting from the COVID-19 outbreak or similar public health crises could delay or cause a disruption of the development of our product candidates and adversely impact our business.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Public health crises, such as pandemics or similar outbreaks, could adversely impact our business. The current COVID-19 pandemic has continuously evolved, and to date has led to the implementation of various responses, including government-imposed quarantines, travel restrictions and other public health safety measures, as well as reported adverse impacts on healthcare resources, facilities and providers, in Massachusetts, across the U.S. and in other countries. The U.S. government, as well as certain foreign governments, have imposed restrictions on travel to or from the U.S. and other jurisdictions, which may delay or prevent us from conducting our business in a timely and efficient manner. The extent to which COVID-19 impacts our operations or those of our third-party partners will depend on future developments, which are highly uncertain and cannot be predicted with confidence, including the duration of the outbreak, additional or modified government actions, new information that will emerge concerning the severity and impact of COVID-19 and the actions to contain COVID-19 or address its impact in the short and long term, among others.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completion of our clinical trial for NTLA-2001 for ATTR amyloidosis, as well as timely completion of preclinical activities and initiation of planned clinical trials for other product candidates, such as NTLA-2002 for HAE and NTLA-5001 for AML, is dependent upon the availability of, for example, preclinical and clinical trial sites, researchers and investigators, regulatory agency personnel, and materials, which may be adversely affected by global health matters, such as pandemics. We plan to conduct preclinical activities and clinical trials for our investigational drug product candidates in geographies which are currently being affected by COVID-19.</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in response to the pandemic and in accordance with direction from state and local government authorities, we have restricted and may continue to restrict access to our facilities mostly to personnel and third parties who must perform critical activities that must be completed on-site, limited the number of such personnel that can be present at our facilities at any one time, and requested that personnel work remotely, as appropriate. In the event that governmental authorities were to further modify current restrictions, our employees conducting research and development or manufacturing activities may not be able to access our laboratory or manufacturing space, and our core activities may be significantly limited or curtailed, possibly for an extended period of time.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factors from the COVID-19 pandemic that could delay or otherwise adversely affect the completion of our preclinical activities and our ongoing and planned clinical trials for our investigational drug product candidates, as well as our business generally, include:</w:t>
      </w:r>
    </w:p>
    <w:p>
      <w:pPr>
        <w:spacing w:after="0" w:line="62" w:lineRule="exact"/>
        <w:rPr>
          <w:sz w:val="20"/>
          <w:szCs w:val="20"/>
          <w:color w:val="auto"/>
        </w:rPr>
      </w:pPr>
    </w:p>
    <w:p>
      <w:pPr>
        <w:ind w:left="1060" w:hanging="526"/>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preclinical activities and clinical trials to focus on pandemic concerns, including the availability of necessary materials and the attention of physicians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left="1060"/>
        <w:spacing w:after="0" w:line="277" w:lineRule="auto"/>
        <w:rPr>
          <w:sz w:val="20"/>
          <w:szCs w:val="20"/>
          <w:color w:val="auto"/>
        </w:rPr>
      </w:pPr>
      <w:r>
        <w:rPr>
          <w:rFonts w:ascii="Arial" w:cs="Arial" w:eastAsia="Arial" w:hAnsi="Arial"/>
          <w:sz w:val="18"/>
          <w:szCs w:val="18"/>
          <w:color w:val="auto"/>
        </w:rPr>
        <w:t>serving as our clinical trial investigators, hospitals serving as our clinical trial sites and hospital staff supporting the conduct of our prospective clinical trials;</w:t>
      </w:r>
    </w:p>
    <w:p>
      <w:pPr>
        <w:spacing w:after="0" w:line="62" w:lineRule="exact"/>
        <w:rPr>
          <w:sz w:val="20"/>
          <w:szCs w:val="20"/>
          <w:color w:val="auto"/>
        </w:rPr>
      </w:pPr>
    </w:p>
    <w:p>
      <w:pPr>
        <w:ind w:left="1060" w:hanging="52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 that we are unable to enroll and retain participants in our clinical trials in adequate numbers;</w:t>
      </w:r>
    </w:p>
    <w:p>
      <w:pPr>
        <w:spacing w:after="0" w:line="144" w:lineRule="exact"/>
        <w:rPr>
          <w:rFonts w:ascii="Arial" w:cs="Arial" w:eastAsia="Arial" w:hAnsi="Arial"/>
          <w:sz w:val="18"/>
          <w:szCs w:val="18"/>
          <w:color w:val="auto"/>
        </w:rPr>
      </w:pPr>
    </w:p>
    <w:p>
      <w:pPr>
        <w:jc w:val="both"/>
        <w:ind w:left="1060" w:hanging="526"/>
        <w:spacing w:after="0" w:line="25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on travel that could interrupt key preclinical activities and trial activities, such as limited operations at laboratory facilities,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research, manufacturing and clinical trial sites or secure visas or entry permissions, any of which could delay or adversely impact the conduct or progress of our prospective clinical trials;</w:t>
      </w:r>
    </w:p>
    <w:p>
      <w:pPr>
        <w:spacing w:after="0" w:line="79"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MHRA and comparable foreign regulatory agencies, which may impact review, inspection, clearance and approval timelines;</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candidates and conditioning drugs and other supplies used in our prospective clinical trials;</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investigational drug product from our CMOs due to staffing shortages, production slowdowns or stoppages and disruptions in delivery systems;</w:t>
      </w:r>
    </w:p>
    <w:p>
      <w:pPr>
        <w:spacing w:after="0" w:line="62" w:lineRule="exact"/>
        <w:rPr>
          <w:rFonts w:ascii="Arial" w:cs="Arial" w:eastAsia="Arial" w:hAnsi="Arial"/>
          <w:sz w:val="18"/>
          <w:szCs w:val="18"/>
          <w:color w:val="auto"/>
        </w:rPr>
      </w:pPr>
    </w:p>
    <w:p>
      <w:pPr>
        <w:ind w:left="1060" w:hanging="526"/>
        <w:spacing w:after="0" w:line="308"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limitations on our business operations by local, state, or the federal government that could impact our ability to conduct our preclinical or clinical activities, including completing our IND-enabling studies or our ability to select future development candidates;</w:t>
      </w:r>
    </w:p>
    <w:p>
      <w:pPr>
        <w:spacing w:after="0" w:line="38" w:lineRule="exact"/>
        <w:rPr>
          <w:rFonts w:ascii="Arial" w:cs="Arial" w:eastAsia="Arial" w:hAnsi="Arial"/>
          <w:sz w:val="17"/>
          <w:szCs w:val="17"/>
          <w:color w:val="auto"/>
        </w:rPr>
      </w:pPr>
    </w:p>
    <w:p>
      <w:pPr>
        <w:jc w:val="both"/>
        <w:ind w:left="1060" w:hanging="526"/>
        <w:spacing w:after="0" w:line="301"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business disruptions caused by potential workplace, laboratory and office closures and an increased reliance on employees working from home, disruptions to or delays in ongoing laboratory experiments and operations, staffing shortages, travel limitations, or communication or mass transit disruptions, any of which could adversely impact our business operations or delay necessary interactions with local regulators, ethics committees, manufacturing sites, research or clinical trial sites and other important agencies and contractors;</w:t>
      </w:r>
    </w:p>
    <w:p>
      <w:pPr>
        <w:spacing w:after="0" w:line="49" w:lineRule="exact"/>
        <w:rPr>
          <w:rFonts w:ascii="Arial" w:cs="Arial" w:eastAsia="Arial" w:hAnsi="Arial"/>
          <w:sz w:val="16"/>
          <w:szCs w:val="16"/>
          <w:color w:val="auto"/>
        </w:rPr>
      </w:pPr>
    </w:p>
    <w:p>
      <w:pPr>
        <w:ind w:left="1060" w:right="20" w:hanging="526"/>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disruptions or cybersecurity risks associated with a substantial portion of our workforce working from home for extended periods of time; and</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on the valuation of our marketable securities and other financial assets due to market volatility.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and other factors arising from COVID-19 could worsen in countries that are already afflicted with coronavirus or could continue to spread to additional countries, each of which could further adversely impact our ability to conduct clinical trials and our business generally, and could have a material adverse impact on our operations and financial condition and results.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trading prices for our common stock and other biopharmaceutical companies have been highly volatile as a result of the COVID-19 pandemic. As a result, we may face difficulties raising capital through sales of our common stock or such sales may be on unfavorable terms. The COVID-19 outbreak continues to rapidly evolve. The extent to which the outbreak may impact our business, preclinical studies and ongoing and planned clinical trials will depend on future developments, which are highly uncertain and cannot be predicted with confidence, such as the ultimate geographic spread of the disease, the duration of the outbreak, travel restrictions and other actions to contain the outbreak or address its impact, such as social distancing and quarantines or lock-downs in the U.S. and other countries, business closures or business disruptions and the effectiveness of actions taken in the U.S. and other countries to contain and address the disease.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auto"/>
        </w:rPr>
        <w:t>Risks Related to Commercialization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in the future, we are unable to establish sales, marketing and distribution capabilities or enter into agreements with third parties to sell, market and distribute products based on our technologies, we may not be successful in commercializing our products if and when any product candidates or therapies are approved and we may not be able to generate any revenue.</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do not currently have a sales, marketing or distribution infrastructure and, as a company, have no experience in the sale, marketing or distribution of therapeutic products. To achieve commercial success for any approved product candidate for which we retain sales and marketing responsibilities, we must build our sales, marketing, managerial and other non-technical capabilities or make arrangements with third parties to perform these services. There are risks involved with both establishing our own sales and marketing capabilities and entering into arrangements with third parties to perform these services.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include:</w:t>
      </w:r>
    </w:p>
    <w:p>
      <w:pPr>
        <w:spacing w:after="0" w:line="117" w:lineRule="exact"/>
        <w:rPr>
          <w:sz w:val="20"/>
          <w:szCs w:val="20"/>
          <w:color w:val="auto"/>
        </w:rPr>
      </w:pPr>
    </w:p>
    <w:p>
      <w:pPr>
        <w:ind w:left="1060" w:hanging="52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 candidates that we may develop;</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treatments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location of patients in need of our product candidates and the treating physicians who may prescribe the products; and</w:t>
      </w:r>
    </w:p>
    <w:p>
      <w:pPr>
        <w:spacing w:after="0" w:line="144"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 well as legal and regulatory requirements, associated with creating and operating a sales and marketing organization.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we would likely have lower product revenue or profitability than if we ourselves were to market and sell our product candidates. In addition, we may be unable to enter into sales and marketing arrangements with third parties, or into arrangements with terms that are favorable to us. We likely will have little control over such third parties and any of them may fail to devote the necessary resources and attention to sell and market our product candidates effectively. If we do not establish sales, marketing and distribution capabilities successfully, either on our own or through third parties, we may not be successful in commercializing our product candidates, and our business, results of operations, financial condition and prospects will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Past Financial Condition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never generated any revenue from product sales and our ability to generate revenue from product sales and become profitable depends significantly on our success in a number of areas.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products approved for commercial sale, have not generated any revenue from product sales, and do not anticipate generating any revenue from product sales until we have received regulatory approval for the commercial sale of one of our product candidates. Our ability to generate revenue, and achieve and retain profitability, depends significantly on our success in many areas, including:</w:t>
      </w:r>
    </w:p>
    <w:p>
      <w:pPr>
        <w:spacing w:after="0" w:line="76" w:lineRule="exact"/>
        <w:rPr>
          <w:sz w:val="20"/>
          <w:szCs w:val="20"/>
          <w:color w:val="auto"/>
        </w:rPr>
      </w:pPr>
    </w:p>
    <w:p>
      <w:pPr>
        <w:ind w:left="1060" w:hanging="52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selecting commercially viable product candidates and effective delivery methods;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successfully completing research, preclinical and clinical development of product candidates;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w:t>
      </w:r>
    </w:p>
    <w:p>
      <w:pPr>
        <w:spacing w:after="0" w:line="144" w:lineRule="exact"/>
        <w:rPr>
          <w:rFonts w:ascii="Arial" w:cs="Arial" w:eastAsia="Arial" w:hAnsi="Arial"/>
          <w:sz w:val="18"/>
          <w:szCs w:val="18"/>
          <w:color w:val="auto"/>
        </w:rPr>
      </w:pPr>
    </w:p>
    <w:p>
      <w:pPr>
        <w:jc w:val="both"/>
        <w:ind w:left="1060" w:hanging="526"/>
        <w:spacing w:after="0" w:line="263"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product candidates, including establishing and maintaining commercially viable supply relationships with third parties, such as CMOs, and potentially establishing our own manufacturing capabilities and infrastructure;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1060" w:hanging="52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investing significant resources in developing large scale manufacturing, analytical processes, and operational infrastructure prior to clinical evidence of safety and efficacy for a given product candidate;</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accurately assessing the size and addressability of potential patient populations;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or which may be necessary for us to develop, manufacture or commercialize our product candidates;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maintaining good relationships with our collaborators and licensors;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w:t>
      </w:r>
    </w:p>
    <w:p>
      <w:pPr>
        <w:spacing w:after="0" w:line="155" w:lineRule="exact"/>
        <w:rPr>
          <w:rFonts w:ascii="Arial" w:cs="Arial" w:eastAsia="Arial" w:hAnsi="Arial"/>
          <w:sz w:val="17"/>
          <w:szCs w:val="17"/>
          <w:color w:val="auto"/>
        </w:rPr>
      </w:pPr>
    </w:p>
    <w:p>
      <w:pPr>
        <w:ind w:left="1060" w:hanging="52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avoiding infringement of or obtaining licenses to any valid intellectual property owned or controlled by third parties; and</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one or more product candidates that we discover and develop are approved for commercial sale, we anticipate incurring significant costs associated with commercializing any approved product candidate and the timing of such costs may be out of our control. If we are not able to generate revenue from the sale of any approved products, we may never become profitable.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difficult the evaluation of our business’s success to date and assessment of our future viability.</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early clinical-stage company. We were founded and commenced operations in mid-2014. All of our product candidates are still in the preclinical development or early clinical stage. We have not yet demonstrated our ability to successfully complete any clinical trials, including large-scale, pivotal clinical trials, obtain marketing approvals, manufacture clinical and commercial scale therapeutics, or arrange for a third-party to do so on our behalf, or conduct sales and marketing activities necessary for successful commercialization. Our ability to generate product revenue or profits, which we do not expect will occur for many years, if ever, will depend heavily on the successful development and eventual commercialization of our product candidates, which may never occur. We may never be able to develop or commercialize a marketable product.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programs may require additional discovery research and then preclinical and clinical development, regulatory approval in multiple jurisdictions, obtaining manufacturing supply, capacity and expertise, building of a commercial organization, substantial investment and significant marketing efforts before we generate any revenue from product sales. In addition, our product candidates must be approved for marketing by the FDA, or certain other foreign regulatory agencies, before we may commercialize any product.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limited operating history, particularly in light of the rapidly evolving genome editing field, may make it difficult to evaluate our current business and predict our future performance. Our relatively short history as an operating company makes any assessment of our future success or viability subject to significant uncertainty. We will encounter risks and difficulties frequently experienced by very early-stage companies in rapidly evolving fields. If we do not address these risks successfully, our business will suffer.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net losses in each period since our inception, anticipate that we will continue to incur net losses in the future and may never achieve profitability.</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not profitable and have incurred losses in each period since our inception. Our net loss was $68.8 million for the three months ended June 30, 2021. As of June 30, 2021, we had an accumulated deficit of $550.1 million. We expect these losses to increase as we continue to incur significant research and development and other expenses related to our ongoing operations, seek regulatory approvals for our future product candidates, scale-up manufacturing capabilities, maintain, expand and protect our intellectual property portfolio and hire additional personnel to support the development of our product candidates and to enhance our operational, financial and information management systems. Although we believe that our cash, cash equivalents, and marketable securities will enable us to fund our operating and capital expenditure requirements at least through the next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8"/>
          <w:szCs w:val="18"/>
          <w:color w:val="auto"/>
        </w:rPr>
        <w:t>twenty four months, we cannot predict the impact of the COVID-19 pandemic on future results of operations and financial condition due to a variety of factors, including the health of our employees, the ability of suppliers to continue to operate and deliver, the ability of Intellia to maintain operations, continued access to transportation resources, any further government and/or public actions taken in response to the pandemic and ultimately the length of the pandemic. We expect to finance our operations through a combination of collaboration revenue, equity or debt financings or other sources, which may include collaborations with third parties. Given the impact of COVID-19 on the U.S. and global financial markets, we may be unable to access further equity or debt financing when needed.</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critical aspect of our strategy is to invest significantly in our technology to improve the efficacy and safety of potential product candidates that we discover. Even if we succeed in discovering, developing and ultimately commercializing one or more of these product candidates, we will continue to incur losses for the foreseeable future relating to our substantial research and development expenditures to develop our technologies. We may encounter unforeseen expenses, difficulties, complications, delays and other unknown factors that may adversely affect our business, such as the COVID-19 pandemic.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Further, the net losses we incur may fluctuate significantly from quarter to quarter and year to year, such that a period-to-period comparison of our results of operations may not be a good indication of our future performance.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Future Financial Condition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raise substantial additional funding to fund our operations. If we fail to obtain additional financing, we may be unable to complete the development and commercialization of any product candidates.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operations have required substantial amounts of cash since inception, and we expect to spend substantial amounts of our financial resources on our discovery programs going forward and future development efforts. Before obtaining marketing approval from regulatory authorities for the sale of any product candidate, we must complete preclinical development, manufacture (or have manufactured) product candidates and components, and then conduct extensive clinical trials to demonstrate the safety and efficacy of any of our future product candidates in humans. Because preclinical and clinical testing is expensive and can take many years to complete, we may require additional funding to complete these undertakings. Further, if we are able to identify product candidates that are eventually approved, we will require significant additional amounts in order to launch and commercialize our product candidates. For the foreseeable future, we expect to continue to rely on additional financing to achieve our business objectives. Our future capital requirements will depend on and could increase significantly as a result of many factors, including 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require additional capital for the further development and commercialization of any product candidates and may need to raise additional funds sooner if we choose to expand more rapidly than we presently anticipate or due to other unanticipated factors. Disruptions in the financial markets in general and, more recently, due to the COVID-19 pandemic have made equity and debt financing more difficult to obtain, and may have a material adverse effect on our ability to meet our fundraising needs.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manufacture or commercialization of our product candidates or other research and development initiatives. Our collaboration and license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 above events could significantly harm our business, prospects, financial condition and results of operations and cause the price of our common stock to decline.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stockholders and restrict our operations.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need additional capital in the future to continue our planned operations. To the extent that we raise additional capital through the sale of equity or convertible debt securities, the ownership interest of our existing stockholders may be diluted, and the terms of these securities may include liquidation or other preferences that adversely affect the rights of our common stockholders. In addition, the impact on the economic and financial markets of the COVID-19 pandemic has depressed the valuation of public companies, which could require selling equity at lower prices to ensure appropriate capitalization.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national or global economic conditions or political developments could adversely affect our business, financial condition or results of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national or global economy and financial markets. For example, governmental statements, actions or policies, political unrest and global financial crises can cause extreme volatility and disruptions in the capital and credit markets. A severe or prolonged economic downturn, political unrest or additional global financial crises, including those resulting from the current COVID-19 pandemic, could result in a variety of risks to our business, including weakened demand for our products,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further political developments and financial market conditions could adversely impact our business.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Inadequate funding for, or change of priorities or disruptions at, the FDA and other government agencies in or outside the U.S. could hinder their ability to hire, retain, or deploy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ability of the FDA and other similar regulatory agencies to review and approve new products can be affected by a variety of factors, including government budget and funding levels, ability to hire and retain key personnel and authorization to accept the payment of user fees, reallocation of resources to address unique or new healthcare issues (such as the COVID-19 pandemic), and statutory, regulatory, and policy changes. For example, the FDA’s average review times at the agency have fluctuated in recent years as a result of these factors in the U.S. In addition, government funding of other government agencies on which our operations may rely, including those that fund research and development activities, is subject to the political process, which is inherently fluid and unpredictable.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Disruptions at the FDA and other similar agencies may also slow the time necessary for new product applications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prolonged government shutdown occurs (or if the COVID-19 pandemic continues to disrupt or prevent regular inspections, reviews, or other regulatory activities conducted by regulatory agencies) in the U.S. or other jurisdictions where we plan to conduct our clinical trials, manufacturing, or other operations, it could significantly impact the ability of the relevant agency, such as the FDA, to timely review and process our regulatory submissions, which could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Reliance on Novartis and Regeneron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technological advancements and any potential for revenue may be derived in part from our collaborations with Novartis and Regeneron, and if either of these collaboration agreements were to be terminated or materially altered, our business, financial condition, results of operations and prospects would be harmed.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2014, we entered into a collaboration agreement with Novartis, which we amended in December 2018 and June 2021 (collectively, the “Novartis Agreement”) regarding the discovery of new CRISPR/Cas9-based therapies principally using chimeric antigen receptor T (“CAR-T”) cells, hematopoietic stem cells (“HSCs”) and certain limbal stem cells selected by Novartis. Under the Novartis Agreement, Novartis committed to advance programs in these cells, and we granted it exclusive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both"/>
        <w:spacing w:after="0" w:line="273" w:lineRule="auto"/>
        <w:rPr>
          <w:sz w:val="20"/>
          <w:szCs w:val="20"/>
          <w:color w:val="auto"/>
        </w:rPr>
      </w:pPr>
      <w:r>
        <w:rPr>
          <w:rFonts w:ascii="Arial" w:cs="Arial" w:eastAsia="Arial" w:hAnsi="Arial"/>
          <w:sz w:val="17"/>
          <w:szCs w:val="17"/>
          <w:color w:val="auto"/>
        </w:rPr>
        <w:t>rights to further develop and commercialize the product candidates against targets it selected during the research term arising out of the programs. On June 14, 2021, the Novartis Agreement was amended (“Amendment No. 3”) with respect to Novartis’ rights to all the CAR-T Therapeutic Targets (the “Targets”) that Novartis selected, including (a) making Novartis’ license non-exclusive for such Targets, (b) removing Novartis’ diligence and related reporting obligations for such Targets, and (c) redefining the scope of Novartis’ sublicense rights for such Targets. We also agreed to pay to Novartis a one-time payment of $10.0 million within 30 days after the effective date of Amendment No. 3. The research portion of our agreement with Novartis ended in December 2019, and we cannot guarantee that Novartis will continue to pursue any of its selected programs.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2016, we entered into a collaboration agreement with Regeneron, which we amended in May 2020 (the “Amended Regeneron Agreement”). The Amended Regeneron Agreement includes a product component to research, develop and commercialize CRISPR/Cas-based therapeutic products primarily focused on genome editing in the liver, as well as a technology collaboration component, under which we and Regeneron will engage in research and development activities aimed at discovering and developing novel technologies and CRISPR/Cas technology improvements to enhance our genome editing platform. Pursuant to the Amended Regeneron Agreement, we granted Regeneron exclusive rights to select up to 15 initial targets, subject to certain restrictions and modifications. We retained the rights to solely develop certain indications, and have the right to choose additional liver targets for our own development during the collaboration term. Both parties have defined rights to enter into co-development and co-promotion (“Co/Co”) agreements for indications selected by the other. Certain indications, such as ATTR amyloidosis, hemophilia A and hemophilia B are subject to Co/Co agreements. For example, in July 2018, we entered into an ATTR Co/Co under which we are the clinical and commercial lead for ATTR amyloidosis products. In December 2019, Regeneron exercised its right under the ATTR Co/Co agreement to modify its share of worldwide development costs and profits from 50% to 25% as of mid-June 2020. In May 2020, we entered into two co-development and co-funding agreements directed to each of hemophilia A and hemophilia B (the “Hemophilia Co/Co”) agreements, under which Regeneron will be the clinical and commercial lead, for these programs. Under the Hemophilia Co/Co agreements, worldwide development costs and profits of any future covered products will be split between Regeneron and us, 65% and 35%, respectively.</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Either Novartis or Regeneron may change its strategic focus or pursue alternative technologies in a manner that results in reduced, delayed or no revenue to us. Each of Novartis and Regeneron has a variety of marketed products and product candidates either by itself or with other companies, including some of our competitors, and the respective corporate objectives of Novartis or Regeneron may not be consistent with our best interests. Regeneron may change its position regarding its participation and funding of our joint ATTR amyloidosis activities, which may impact our ability to successfully pursue that program. If either of our collaboration partners fails to develop, obtain regulatory approval for or ultimately commercialize any product candidate from the development programs governed by the respective collaboration agreement, or breaches or terminates our collaboration with it, our business, financial condition, results of operations and prospects could be harmed. In addition, any material alteration of the collaboration agreements, or dispute or litigation proceedings we may have with either Novartis or Regeneron in the future could delay development programs, create uncertainty as to ownership of or access to intellectual property rights, distract management from other business activities and generate substantial expense.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existing and future collaborations will be important to our business. If we are unable to maintain any of these collaborations, or if these collaborations are not successful, our business could be adversely affected.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limited capabilities for product discovery and development and do not yet have any capability for sales, marketing or distribution. Accordingly, we have entered, and plan to enter, into collaborations with other companies, including our therapeutic-focused collaboration agreements with Novartis and Regeneron, that we believe can provide such capabilities. These current and future therapeutic-focused collaborations could provide us with important technologies and/or funding for our programs and technology. Our existing and future therapeutic collaborations may have a number of risks, including that collaborators:</w:t>
      </w:r>
    </w:p>
    <w:p>
      <w:pPr>
        <w:spacing w:after="0" w:line="80" w:lineRule="exact"/>
        <w:rPr>
          <w:sz w:val="20"/>
          <w:szCs w:val="20"/>
          <w:color w:val="auto"/>
        </w:rPr>
      </w:pPr>
    </w:p>
    <w:p>
      <w:pPr>
        <w:ind w:left="1060" w:hanging="52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have significant discretion in determining the efforts and resources that they will apply;</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not perform their obligations as expected;</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dispute the amounts of payments owed;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jc w:val="both"/>
        <w:ind w:left="1060" w:hanging="526"/>
        <w:spacing w:after="0" w:line="311"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may not pursue development and commercialization of any product candidates that achieve regulatory approval or may elect not to continue or renew development or commercialization programs or license arrangements based on clinical trial results, changes in their strategic focus or available funding, or external factors, such as a strategic transaction that may divert resources or create competing priorities;</w:t>
      </w:r>
    </w:p>
    <w:p>
      <w:pPr>
        <w:spacing w:after="0" w:line="40" w:lineRule="exact"/>
        <w:rPr>
          <w:rFonts w:ascii="Arial" w:cs="Arial" w:eastAsia="Arial" w:hAnsi="Arial"/>
          <w:sz w:val="16"/>
          <w:szCs w:val="16"/>
          <w:color w:val="auto"/>
        </w:rPr>
      </w:pPr>
    </w:p>
    <w:p>
      <w:pPr>
        <w:ind w:left="1060" w:hanging="52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delay, insufficiently fund, stop, initiate new or repeat clinical trials, reformulate a product candidate for clinical testing, or abandon a product candidate;</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could develop independently, or with third parties, products that compete directly or indirectly with our products and product candidates;</w:t>
      </w:r>
    </w:p>
    <w:p>
      <w:pPr>
        <w:spacing w:after="0" w:line="155" w:lineRule="exact"/>
        <w:rPr>
          <w:rFonts w:ascii="Arial" w:cs="Arial" w:eastAsia="Arial" w:hAnsi="Arial"/>
          <w:sz w:val="17"/>
          <w:szCs w:val="17"/>
          <w:color w:val="auto"/>
        </w:rPr>
      </w:pPr>
    </w:p>
    <w:p>
      <w:pPr>
        <w:ind w:left="1060" w:right="20" w:hanging="526"/>
        <w:spacing w:after="0" w:line="308"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may view product candidates discovered in our collaborations as competitive with their own product candidates or products, which may cause collaborators to cease to devote resources to the development or commercialization of our product candidates;</w:t>
      </w:r>
    </w:p>
    <w:p>
      <w:pPr>
        <w:spacing w:after="0" w:line="38" w:lineRule="exact"/>
        <w:rPr>
          <w:rFonts w:ascii="Arial" w:cs="Arial" w:eastAsia="Arial" w:hAnsi="Arial"/>
          <w:sz w:val="17"/>
          <w:szCs w:val="17"/>
          <w:color w:val="auto"/>
        </w:rPr>
      </w:pPr>
    </w:p>
    <w:p>
      <w:pPr>
        <w:ind w:left="1060" w:hanging="52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dispute ownership or rights in jointly developed technologies or intellectual property;</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fail to comply with applicable legal and regulatory requirements regarding the development, manufacture, sale, distribution or marketing of a product candidate or product;</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sales, marketing, manufacturing and distribution rights to our product candidates may not commit sufficient resources to the product’s sale, marketing, manufacturing and distribution;</w:t>
      </w:r>
    </w:p>
    <w:p>
      <w:pPr>
        <w:spacing w:after="0" w:line="62" w:lineRule="exact"/>
        <w:rPr>
          <w:rFonts w:ascii="Arial" w:cs="Arial" w:eastAsia="Arial" w:hAnsi="Arial"/>
          <w:sz w:val="18"/>
          <w:szCs w:val="18"/>
          <w:color w:val="auto"/>
        </w:rPr>
      </w:pPr>
    </w:p>
    <w:p>
      <w:pPr>
        <w:jc w:val="both"/>
        <w:ind w:left="1060" w:hanging="526"/>
        <w:spacing w:after="0" w:line="259"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disagree with us about material issues, including proprietary rights, contract interpretation, payment obligations or the preferred course of discovery, development, sales or marketing, which might cause delays or terminations of the research, development or commercialization of product candidates, lead to additional and burdensome responsibilities for us with respect to product candidates, or result in litigation or arbitration, any of which would be time-consuming and expensive;</w:t>
      </w:r>
    </w:p>
    <w:p>
      <w:pPr>
        <w:spacing w:after="0" w:line="78" w:lineRule="exact"/>
        <w:rPr>
          <w:rFonts w:ascii="Arial" w:cs="Arial" w:eastAsia="Arial" w:hAnsi="Arial"/>
          <w:sz w:val="18"/>
          <w:szCs w:val="18"/>
          <w:color w:val="auto"/>
        </w:rPr>
      </w:pPr>
    </w:p>
    <w:p>
      <w:pPr>
        <w:jc w:val="both"/>
        <w:ind w:left="1060" w:hanging="526"/>
        <w:spacing w:after="0" w:line="263"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not properly maintain or defend their or our relevant intellectual property rights or may use our proprietary information in such a way as to invite litigation that could jeopardize or invalidate our intellectual property or proprietary information or expose us to potential litigation and liability;</w:t>
      </w:r>
    </w:p>
    <w:p>
      <w:pPr>
        <w:spacing w:after="0" w:line="75" w:lineRule="exact"/>
        <w:rPr>
          <w:rFonts w:ascii="Arial" w:cs="Arial" w:eastAsia="Arial" w:hAnsi="Arial"/>
          <w:sz w:val="18"/>
          <w:szCs w:val="18"/>
          <w:color w:val="auto"/>
        </w:rPr>
      </w:pPr>
    </w:p>
    <w:p>
      <w:pPr>
        <w:ind w:left="1060" w:hanging="52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infringe the intellectual property rights of third parties, which may expose us to litigation and potential liability;</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could become involved in a business combination or cessation that could cause them to deemphasize or terminate the development or commercialization of any product candidate licensed to it by us; and</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terminate our collaborations, which could require us to raise additional capital to develop or commercialize the applicable product candidates, or lose access to the collaborator’s intellectual property.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therapeutic collaborations do not result in the successful discovery, development and commercialization of products or if a collaborator terminates its agreement with us, we may not receive any future research funding or milestone or royalty payments under the collaboration. All of the risks relating to product discovery, development, regulatory approval and commercialization summarized and described in this report also apply to the activities of our therapeutic collaborators.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part of our business strategy, we may pursue acquisitions or licenses of assets or acquisitions of businesses, or disposition of assets or technologies. We also may pursue strategic alliances and joint ventures that leverage our core technology and industry experience. If we decide to collaborate with other companies to discover, develop and commercialize therapeutic products, we face significant competition in seeking appropriate collaborators because, for example, third-parties have comparable rights to the CRISPR/Cas9 system or similar genome editing technologies. In addition, we have limited experience with acquiring, disposing of or licensing assets or forming strategic alliances and joint ventures.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delay or abandon discovery efforts or development programs, and the development, manufacture or commercialization of a product candidate, or increase our expenditures and undertake these activities at our own expense. If we elect to fund and undertake discovery, development, manufacturing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discovery, development, manufacturing and commercialization activities, we may not be able to further develop our product candidates, manufacture the product candidates, bring them to market or continue to develop our technology and our business may be materially and adversely affected. Furthermore, we may not identify or complete these transactions in a timely manner, on a cost-effective basis, or at all, and we may not realize the anticipated benefits of any acquisition, license, strategic alliance or joint venture.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New Company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launching a new company alongside Cellex Cell Professionals GmbH and Blackstone Life Sciences Advisors L.L.C. We are exposed to risks associated with the launch of the new company and may not realize the advantages we expect from it.</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22, 2021, we announced the launch of a new company (“NewCo”) alongside Cellex Cell Professionals GmbH (“Cellex”) and Blackstone Life Sciences Advisors L.L.C. (“BXLS”). NewCo will also acquire GEMoaB GmbH (“GEMoaB”), a wholly-owned subsidiary of Cellex. NewCo will combine GEMoaB’s clinical-stage universal CAR-T program and platforms with our allogeneic universal cell engineering platform. In July 2021, we entered into a license and collaboration agreement with NewCo (the “NewCo License”), under which we will collaborate to develop allogeneic universal CAR-T cell therapies, as well as a co-development and co-funding agreement (the “NewCo Co/Co Agreement”) to develop allogeneic universal CAR-T cell products targeted to a particular undisclosed immuno-oncology indication. NewCo may not be successful in the timeframe we expect, or at all. In addition, if NewCo fails to develop, obtain regulatory approval for or ultimately commercialize any product candidate from its development programs, including those governed by the respective NewCo License or NewCo Co/Co Agreement, or breaches or terminates such agreements, our business, financial condition, results of operations and prospects could be harmed.</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Additionally, we, BXLS, and Cellex (and certain related entities) each have equal ownership of NewCo and therefore share control over portions of the operations of NewCo. Because of our minority ownership in NewCo, we have a lesser degree of control over its business operations, thereby potentially increasing the financial, legal, operational and compliance risks Intellia may face in the future. In addition, we may be dependent on controlling shareholders or management of NewCo who may have business interests, strategies or goals that are inconsistent with ours. These risks include the possibility that NewCo, BXLS or Cellex has economic or business interests or goals that are or become inconsistent with our economic or business interests or goals; is in a position to take action contrary to our instructions, requests, policies or objectives; subjects us to unexpected liabilities or risks; takes actions that reduce our return on investment; acts in a manner that compromises our key licensed rights, or important IP or other rights that we own or license; or takes actions that harm our reputation or restrict our ability to run our business. Furthermore, as a result of our ownership in NewCo, we may be required to include NewCo’s financial statements in our consolidated financial statements. We have not previously included a minority-owned subsidiary in our financial statements and therefore are subject to increased risk in accurately representing and incorporating NewCo’s financial statements into our own, which could result in delayed filings with the SEC and the finding of a material or significant weakness, among others. This could result in harmful consequences to our business, including an adverse reaction in the financial markets due to a loss of confidence in the reliability of our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auto"/>
        </w:rPr>
        <w:t>Risks Related to Our Reliance on Other Third Parties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expect to rely in part on third parties to manufacture our clinical product supplies, and we intend to rely on third parties for at least a portion of the manufacturing process of our product candidates, if approved. Our business could be harmed if the third parties fail to provide us with sufficient quantities of product inputs or fail to do so at acceptable quality levels or prices or fail to meet legal and regulatory requirements.</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currently own any facility that may be used as our clinical-scale manufacturing and processing facility and must rely on outside vendors, such as CMOs, to manufacture supplies and process our product candidates. We have only recently begun to manufacture and process product candidate components on a clinical scale and may not be able to successfully complete or continue to do so. We will make changes to optimize the manufacturing process, and cannot be sure that even minor changes in the process will result in therapies that are safe, potent, pure or effective.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facilities used by our CMOs to manufacture our product candidates must be inspected and approved by, as applicable, the FDA or other foreign regulatory agencies after we apply for approval or marketing authorization. We will be dependent on our CMO partners to properly manufacture adequate supply of our product candidates and components in a timely manner and in accordance with our specification. We also will depend on these entities for compliance with relevant legal and regulatory requirements for manufacture of our product candidates, including current good manufacturing practice (“cGMP”), and in certain cases, current good tissue practice (“cGTP”), requirements. If they cannot successfully manufacture material that conforms to our specifications and the strict relevant regulatory requirements, our CMOs will not be able to secure or maintain regulatory approval for their manufacturing facilities. In addition, we have no control over the ability of our CMOs to maintain adequate quality control, quality assurance and qualified personnel, particularly as we increase the scale of our manufactured material. If the FDA or relevant foreign regulatory authority does not approve these facilities for the manufacture of our product candidates or if it withdraws any such approval, we may need to find alternative manufacturing facilities, which would significantly impact our ability to develop, obtain regulatory approval for or market our product candidates.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any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Events such as the COVID-19 pandemic could adversely impact the ability of our vendors, including CMOs, to manufacture supplies, process and deliver our product candidates, or to otherwise meet our requirements or those of the applicable regulatory agencies. For example,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capacity for the products needed for our clinical trials, which could lead to delays in these trials. Additionally, these events could also impact the regulatory agencies’ ability to inspect and approve our vendors, including CMOs, within our currently expected timeframe.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our preclinical studies and clinical trials. If these third parties do not successfully carry out their contractual duties or meet expected deadlines or comply with legal and regulatory requirements, we may not be able to obtain regulatory approval of or commercialize any potential product candidates.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currently depend, and expect to continue to depend, upon third parties, including independent investigators, to conduct our clinical trials under agreements with universities, medical institutions, CROs, strategic partners and others. We expect to have to negotiate budgets and contracts with CROs, trial sites and other service and goods providers, which may result in delays to our development timelines and increased costs.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rely, and expect to continue to rely heavily on third parties over the course of our preclinical studies and clinical trials, and, as a result, will have limited control over the clinical investigators and other service providers, and limited visibility into their day-to-day activities, including with respect to their compliance with the approved clinical protocol and other legal, regulatory and scientific standards. Nevertheless, we are responsible for ensuring that each of our studies is conducted in accordance with the applicable protocol and legal, regulatory and scientific standards, and our reliance on third parties does not relieve us of our legal responsibilities. We and these third parties are required to comply with good clinical practice (“GCP”), which are regulations and guidelines enforced by the FDA, EMA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relevant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product produced under cGMP, and in certain cases, cGTP, requirements and may require a large number of test patients.</w:t>
      </w:r>
    </w:p>
    <w:p>
      <w:pPr>
        <w:spacing w:after="0" w:line="17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or these third parties’ failure to comply with these requirements or to recruit a sufficient number of patients may require us to delay, suspend, repeat or terminate clinical trials, which would delay the regulatory approval process. Moreover, our business may be implicated if any of these third parties violates applicable federal, state or local, as well as foreign, laws and regulations, such as the fraud and abuse or false claims laws and regulations or privacy and security laws. In jurisdictions such as the U.K. and EU, penalties for violations of privacy laws and other regulations can be financially significant. Further, if any of our CROs, clinical investigators or others involved in our clinical trials fail to comply with such laws and regulations, we could be held responsible for its actions or omissions and be negatively impacted. In the event of non-compliance with European Data Protection Law, we could be subject to substantial fines and other penalties, including fines of up to 10,000,000 Euros or up to 2% of our total worldwide annual turnover for certain comparatively minor offenses, or up to 20,000,000 Euros or up to 4% of our total worldwide annual turnover for more serious offenses.</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third parties conducting our current or future clinical trials will not be our employees and, except for remedies that may be available to us under our agreements with such third parties, we cannot control whether they devote sufficient time and resources to our ongoing preclinical, clinical, and nonclinical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fail to meet their contractual obligations, legal requirements or expected deadlines, need to be replaced, or generate inaccurate or substandard clinical data by failing to adhere to our clinical protocols or regulatory requirements or for other reasons, our clinical trials may be extended, delayed or terminated and we may not be able to complete development of, obtain regulatory approval of or successfully commercialize our product candidates. In addition, the COVID-19 pandemic or similar events, and responsive governmental actions, could divert healthcare resources, including necessary materials and clinical trial personnel, away from our clinical trial sites to focus on pandemic concerns. As a result, our financial results and the commercial prospects for our product candidates would be harmed, our costs could increase and our ability to generate revenue could be delayed.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resurgence of the COVID-19 pandemic (or a similar event) and measures taken in response by U.S. or other governments may have a significant impact on our CROs, clinical sites and other service and goods providers, which may affect our ability to initiate and complete preclinical studies and clinical trials.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our relationships with these third-party CROs, clinical sites or other third parties terminate, we may not be able to enter into arrangements with alternative CROs, clinical sites or other third parties or to do so on commercially reasonable terms. Switching or adding additional CROs, clinical sites or other providers involves additional cost and requires management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time and focus. In addition, the transition to a new CRO may result in delays, which can materially impact our ability to meet our desired clinical development timelines. Though we carefully manage our relationships with these parties, there can be no assurance that we will not encounter similar challenges or delays in the future or that these delays or challenges will not have a material adverse impact on our business, financial condition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Hiring and Retention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expand our research, development, manufacturing, clinical and regulatory capabilities, and, as a result, we may encounter difficulties in hiring capable personnel and otherwise managing our growth, which could disrupt our operations.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growth in the number of our employees and the scope of our operations, including the areas of technology research, product development and manufacturing, clinical, regulatory and quality affairs and, if any product candidates receive marketing approval, sales, marketing and distribution. To manage our anticipated growth, we must continue to implement and improve our managerial, operational and financial systems, expand our facilities, and recruit and train additional qualified personnel. Due to our limited financial resources, the significant competition for employees in our market and industry, and the limited experience of our management team in managing a company with such anticipated growth, we may not be able to recruit and train additional qualified personnel or otherwise effectively manage the expansion of our operations, which may lead to significant costs and divert our management and business resources. Any inability to manage growth could delay or disrupt the execution of our business and operational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highly dependent on the research and development, clinical, legal, financial and business development expertise of John M. Leonard, M.D., our President and Chief Executive Officer, Glenn Goddard, our Executive Vice President and Chief Financial Officer, David Lebwohl, our Executive Vice President and Chief Medical Officer, James Basta, our Executive Vice President, General Counsel and Corporate Secretary, and Laura Sepp-Lorenzino, our Executive Vice President and Chief Scientific Officer, as well as the other principal members of our management, scientific and clinical teams. Although we have entered into employment arrangements with our executive officers, each of them may terminate their employment with us at any time. We do not maintain “key person” insurance for any of our executives or other employees.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important for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using our technology. Competition to hire from this limited pool is intense, and we may be unable to hire, train, retain or motivate these key personnel on acceptable terms given the competition among numerous pharmaceutical and biotechnology companies, universities and research institutions for similar personnel. The market for qualified personnel in the biotechnology space generally, and genome editing and gene therapy fields in particular, in and around the Cambridge, Massachusetts area is especially competitive. In addition, we rely on consultants and advisors, including scientific and clinical advisors, to 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 Further, some of the qualified personnel that we hire and recruit are not U.S. citizens, and there is uncertainty with regard to their future employment status due to the current U.S. administration’s announced intention of modifying the legal framework for non-U.S. citizens to be employed in the U.S. Finally, events such as the COVID-19 pandemic and government restrictions and directives, including immigration policy changes, could adversely impact our ability to recruit, retain or replace key employees necessary to achieve our objectives and strategic imperatives, If we are unable to continue to attract and retain high quality personnel, our ability to pursue our growth strategy will be limited.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Obtaining Regulatory Approval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While the regulatory framework for approval of gene therapy including genome editing products exists, the limited specific guidance and precedent for genome-edited products makes the regulatory approval process potentially more unpredictable and we may experience significant delays in the clinical development and regulatory approval, if any, of our product candidates.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research, testing, manufacturing, labeling, approval, selling, import, export, marketing and distribution of drug products, including genome editing therapeutics and engineered cell therapies, are subject to extensive regulation by the FDA in the U.S. and other regulatory authorities in other jurisdictions. For example, we are not permitted to market any drug or biological product, including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products or engineered cell therapies, until we receive regulatory approval from the relevant regulatory agency, such as the FDA in the U.S. or EMA in the EU. We expect the novel nature of our product candidates to create challenges or raise questions from regulatory agencies in obtaining regulatory approval. For example, in the U.S., the FDA has approved neither any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editing-based therapeutic nor any nuclease edited cell therapy for human therapeutic use. The FDA may also require a panel of experts, referred to as an Advisory Committee, to deliberate on the adequacy of the safety and efficacy data to support approval. The Advisory Committee’s opinion, although not binding, may significantly impact our ability to obtain approval of our product candidates. Moreover, while we are not aware of any specific genetic or biomarker tests for which regulatory approval would be necessary to advance any of our product candidates to clinical trials or commercialization, regulatory agencies could require the development and approval of such tests. Accordingly, the regulatory approval pathway for such product candidates may be uncertain, complex, expensive and lengthy, as well as different in each jurisdiction, and approval may not be obtained in any, some or all jurisdictions.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Other non-regulatory entities may impact the regulatory agencies and ethics committees’ evaluation and approval decision regarding our products. For example, in December 2018, the World Health Organization (“WHO”) established the Expert Advisory Committee on Developing Global Standards for Governance and Oversight of Human Genome Editing. While the standards are expected to focus primarily on germline modifications, the guidelines could impact somatic cell editing research programs, such as ours. </w:t>
      </w:r>
      <w:r>
        <w:rPr>
          <w:rFonts w:ascii="Arial" w:cs="Arial" w:eastAsia="Arial" w:hAnsi="Arial"/>
          <w:sz w:val="17"/>
          <w:szCs w:val="17"/>
          <w:color w:val="333333"/>
        </w:rPr>
        <w:t>In March 2019, the WHO Expert</w:t>
      </w:r>
      <w:r>
        <w:rPr>
          <w:rFonts w:ascii="Arial" w:cs="Arial" w:eastAsia="Arial" w:hAnsi="Arial"/>
          <w:sz w:val="17"/>
          <w:szCs w:val="17"/>
          <w:color w:val="auto"/>
        </w:rPr>
        <w:t xml:space="preserve"> Advisory </w:t>
      </w:r>
      <w:r>
        <w:rPr>
          <w:rFonts w:ascii="Arial" w:cs="Arial" w:eastAsia="Arial" w:hAnsi="Arial"/>
          <w:sz w:val="17"/>
          <w:szCs w:val="17"/>
          <w:color w:val="333333"/>
        </w:rPr>
        <w:t>Committee recommended initiating the first phase</w:t>
      </w:r>
      <w:r>
        <w:rPr>
          <w:rFonts w:ascii="Arial" w:cs="Arial" w:eastAsia="Arial" w:hAnsi="Arial"/>
          <w:sz w:val="17"/>
          <w:szCs w:val="17"/>
          <w:color w:val="auto"/>
        </w:rPr>
        <w:t xml:space="preserve"> </w:t>
      </w:r>
      <w:r>
        <w:rPr>
          <w:rFonts w:ascii="Arial" w:cs="Arial" w:eastAsia="Arial" w:hAnsi="Arial"/>
          <w:sz w:val="17"/>
          <w:szCs w:val="17"/>
          <w:color w:val="333333"/>
        </w:rPr>
        <w:t xml:space="preserve">of a new global registry (the “Registry”) to track research on human genome editing. Accepting this recommendation, the WHO announced plans in August 2019 for an initial phase of the registry using the International Clinical Trials Registry Platform (“ICTRP”). This phase will include worldwide registries for both somatic cell editing and germline editing clinical trials. Although </w:t>
      </w:r>
      <w:r>
        <w:rPr>
          <w:rFonts w:ascii="Arial" w:cs="Arial" w:eastAsia="Arial" w:hAnsi="Arial"/>
          <w:sz w:val="17"/>
          <w:szCs w:val="17"/>
          <w:color w:val="000000"/>
        </w:rPr>
        <w:t>registration of these clinical trials in the WHO’s Registry currently is voluntary,</w:t>
      </w:r>
      <w:r>
        <w:rPr>
          <w:rFonts w:ascii="Arial" w:cs="Arial" w:eastAsia="Arial" w:hAnsi="Arial"/>
          <w:sz w:val="17"/>
          <w:szCs w:val="17"/>
          <w:color w:val="333333"/>
        </w:rPr>
        <w:t xml:space="preserve"> </w:t>
      </w:r>
      <w:r>
        <w:rPr>
          <w:rFonts w:ascii="Arial" w:cs="Arial" w:eastAsia="Arial" w:hAnsi="Arial"/>
          <w:sz w:val="17"/>
          <w:szCs w:val="17"/>
          <w:color w:val="000000"/>
        </w:rPr>
        <w:t xml:space="preserve">failure to register could impact the evaluation by the regulators and ethics committees. In </w:t>
      </w:r>
      <w:r>
        <w:rPr>
          <w:rFonts w:ascii="Arial" w:cs="Arial" w:eastAsia="Arial" w:hAnsi="Arial"/>
          <w:sz w:val="17"/>
          <w:szCs w:val="17"/>
          <w:color w:val="333333"/>
        </w:rPr>
        <w:t>July 2021, the WHO Expert Advisory Committee issued</w:t>
      </w:r>
      <w:r>
        <w:rPr>
          <w:rFonts w:ascii="Arial" w:cs="Arial" w:eastAsia="Arial" w:hAnsi="Arial"/>
          <w:sz w:val="17"/>
          <w:szCs w:val="17"/>
          <w:color w:val="000000"/>
        </w:rPr>
        <w:t xml:space="preserve"> </w:t>
      </w:r>
      <w:r>
        <w:rPr>
          <w:rFonts w:ascii="Arial" w:cs="Arial" w:eastAsia="Arial" w:hAnsi="Arial"/>
          <w:sz w:val="17"/>
          <w:szCs w:val="17"/>
          <w:color w:val="333333"/>
        </w:rPr>
        <w:t xml:space="preserve">recommendations and a governance framework for human genome editing research </w:t>
      </w:r>
      <w:r>
        <w:rPr>
          <w:rFonts w:ascii="Arial" w:cs="Arial" w:eastAsia="Arial" w:hAnsi="Arial"/>
          <w:sz w:val="17"/>
          <w:szCs w:val="17"/>
          <w:color w:val="000000"/>
        </w:rPr>
        <w:t>intended for the international, regional, national and institutional level.</w:t>
      </w:r>
      <w:r>
        <w:rPr>
          <w:rFonts w:ascii="Arial" w:cs="Arial" w:eastAsia="Arial" w:hAnsi="Arial"/>
          <w:sz w:val="17"/>
          <w:szCs w:val="17"/>
          <w:color w:val="333333"/>
        </w:rPr>
        <w:t xml:space="preserve"> </w:t>
      </w:r>
      <w:r>
        <w:rPr>
          <w:rFonts w:ascii="Arial" w:cs="Arial" w:eastAsia="Arial" w:hAnsi="Arial"/>
          <w:sz w:val="17"/>
          <w:szCs w:val="17"/>
          <w:color w:val="000000"/>
        </w:rPr>
        <w:t>For example, the WHO recommended that: clinical trials using somatic human genome editing technologies be reviewed and approved by the appropriate research ethics committee before inclusion in its Registry; basic and preclinical gene editing research also be included in a registry; somatic or germline human genome editing research should only take place in jurisdictions with domestic policy and oversight mechanisms; and relevant patent holders help ensure equitable access to human genome editing interventions. We cannot predict the impact of the WHO’s current and future recommendations, or any policies or actions that ethics committees or regulatory agencies may take in response to such recommendations, on our research, clinical and business plans and results.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Patient enrollment is a significant factor in the timing of clinical trials and is affected by many factors, including willingness of physicians to use an experimental therapy, the availability of existing treatments, the trial’s geographic locations and the number of patients in each geographic location. In addition, our ability to enroll and dose patients may be delayed by the regulatory authority as well as, the IRB or another ethics committee (whether local or national). Further, a clinical trial may be suspended or terminated by us, the relevant IRBs or ethics committees the trial’s DSMB, or the FDA or other regulatory authorities due to a number of factors, including failure to conduct the clinical trial in accordance with regulatory requirements or our clinical protocols,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product candidates, the commercial prospects for our product candidates will be harmed, and our ability to generate product revenue will be impaired. In addition, any delays in completing any clinical trials will increase our costs, slow down our product development and approval process and jeopardize our ability to commence product sales and generate revenue.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product candidates in other jurisdictions.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approves a product candidate, comparable regulatory authorities in foreign jurisdictions must also authorize the marketing and sale of the product candidate in those countries. Approval procedures vary among jurisdictions and can involve requirements and review periods different from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sold in that jurisdiction. In some cases, the price that we are allowed to charge for our products is also subject to approval or to other legal restrictions.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relevant regulatory requirements or to receive applicable marketing approvals, our target markets will be reduced and our ability to realize the full market potential of our product candidates will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Ongoing Regulatory Obligations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or therapies,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of our product candidates are approved, they may be subject to ongoing regulatory requirements for manufacturing, labeling, packaging, distribution, storage, advertising, promotion, sampling, record-keeping, and submission of safety and efficacy data, and other post-market information and potential obligations (such as post-marketing studies), including both federal and state requirements in the U.S. and requirements of comparable foreign regulatory authorities. In addition, we will be subject to continued compliance with cGMP and GCP, and in certain cases, cGTP, requirements for any clinical trials that we conduct post-approval.</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as applicable, including ensuring that quality control and manufacturing procedures conform to cGMP and, in certain cases, cGTP requirements, and applicable product tracking and tracing requirements. As such, we and our CMOs will be subject to continual review and inspections to assess compliance with cGMP and adherence to commitments made in any BLA, other marketing applications, and previous responses to inspection observations. Accordingly, we and others with whom we work must continue to expend time, money, and effort in all areas of regulatory compliance, including manufacturing, production and quality control.</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IV clinical trials and surveillance to monitor the safety and efficacy of the product candidate. For example, the FDA or other regulatory agency may also require a REMS or similar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their respective legal or regulatory requirements including submissions of safety and other post-marketing information and reports and registration.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3" w:name="page64"/>
    <w:bookmarkEnd w:id="63"/>
    <w:p>
      <w:pPr>
        <w:jc w:val="both"/>
        <w:spacing w:after="0" w:line="255" w:lineRule="auto"/>
        <w:rPr>
          <w:sz w:val="20"/>
          <w:szCs w:val="20"/>
          <w:color w:val="auto"/>
        </w:rPr>
      </w:pPr>
      <w:r>
        <w:rPr>
          <w:rFonts w:ascii="Arial" w:cs="Arial" w:eastAsia="Arial" w:hAnsi="Arial"/>
          <w:sz w:val="18"/>
          <w:szCs w:val="18"/>
          <w:color w:val="auto"/>
        </w:rPr>
        <w:t>The FDA or other regulatory agencies may seek to impose consent decrees, withdraw approval or prohibit the export or import of a product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84" w:lineRule="exact"/>
        <w:rPr>
          <w:sz w:val="20"/>
          <w:szCs w:val="20"/>
          <w:color w:val="auto"/>
        </w:rPr>
      </w:pPr>
    </w:p>
    <w:p>
      <w:pPr>
        <w:ind w:left="1060" w:hanging="52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clinical trials or the market, or voluntary or mandatory product recalls;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manufacturing delays and supply disruptions until issues identified by regulatory inspections are remediated;</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by the FDA or the relevant regulatory agency to approve pending applications or supplements to approved applications filed by us or suspension or revocation of license approvals;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U.S. market, and the relevant foreign regulatory agencies do the same in their respective jurisdictions. The FDA and other agencies actively enforce the laws and regulations prohibiting the promotion of off-label uses and a company that is found to have improperly promoted off-label uses may be subject to significant liability.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If we or our collaborators are slow or unable to adapt to changes in existing requirements or the adoption of new requirements or policies, or if we or our collaborators are not able to maintain regulatory compliance, we or our collaborators may lose any marketing approval that we or our collaborators may have obtained, which would adversely affect our business, prospects and ability to achieve or sustain profitability.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clinical investigators, CMOs, CROs, consultants, commercial partners and vendors may engage in misconduct or other improper activities, including noncompliance with regulatory standards and requirements, which could have a material adverse effect on our business.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exposed to the risk of non-compliance, fraud, misconduct or other illegal activity by our employees, independent contractors, clinical investigators, CMOs, CROs, consultants, commercial partners and vendors. Misconduct by these parties could include intentional, reckless and/or negligent conduct that fails to: comply with federal and state laws and those of other applicable jurisdictions; provide true, complete and accurate information to the FDA and other similar foreign regulatory bodies; comply with manufacturing standards; comply with federal and state data privacy, security, fraud and abuse and other healthcare laws and regulations in the U.S. and similar foreign privacy or fraudulent misconduct laws; or report financial information or data accurately; or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clinical investigators and research patients, as well as proposed and future sales, marketing and education programs. In particular, the promotion, sales and marketing of healthcare products and services, as well as certain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including promotion and marketing of off-label uses of our products, structuring and commission(s), certain customer incentive programs and other business arrangements generally.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ourselves or asserting our rights, those actions could have a significant impact on our business, including the imposition of significant fines or other sanctions.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and any potential collaborators, clinical investigators, CMOs, CROs, consultants or vendors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or by comparable laws in other jurisdictions. Depending on the facts and circumstances, we could be subject to civil, criminal, and administrative penalties if we knowingly obtain, use, or disclose individually identifiable health information maintained by a covered entity in a manner that is not authorized or permitted by laws or regulations.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Compliance with U.S., both state and national,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Given that we are conducting a clinical trial in the U.K., and our current and future requests for approval to conduct clinical trials in the U.K. and other jurisdictions outside the U.S., we are and may be subject to additional privacy laws. For example, the GDPR applies extraterritorially, and we may be subject to the GDPR because of data processing activities that involve the personal data of individuals in the EU or the U.K. in connection with EU or U.K. clinical trials. As discussed above, the GDPR regulates the processing of personal data of data subjects in the EU or the U.K. by imposing a broad range of strict requirements on companies subject to the GDPR, including requirements relating to having legal bases for processing personal data and transferring such information outside the EU or the U.K., including to the U.S., providing robust disclosures to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In the event of non-compliance with the GDPR, we could be subject to substantial fines and other penalties, including fines of up to 10,000,000 Euros or up to 2% of our total worldwide annual turnover for certain comparatively minor offenses, or up to 20,000,000 Euros or up to 4% of our total worldwide annual turnover for more serious offenses. We face uncertainty as to the exact interpretation of the new requirements and we may be unsuccessful in implementing all measures required by data protection authorities or courts in interpretation of the law.</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as it relates to processing and transfer of health and genetic data, the GDPR specifically allows national laws to impose additional and more specific requirements or restrictions, and European laws have historically differed quite substantially in this field, leading to additional uncertainty.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jc w:val="both"/>
        <w:spacing w:after="0" w:line="286" w:lineRule="auto"/>
        <w:rPr>
          <w:sz w:val="20"/>
          <w:szCs w:val="20"/>
          <w:color w:val="auto"/>
        </w:rPr>
      </w:pPr>
      <w:r>
        <w:rPr>
          <w:rFonts w:ascii="Arial" w:cs="Arial" w:eastAsia="Arial" w:hAnsi="Arial"/>
          <w:sz w:val="17"/>
          <w:szCs w:val="17"/>
          <w:color w:val="auto"/>
        </w:rPr>
        <w:t>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and laboratory animal welfare laws and regulations, we could become subject to fines or penalties or incur costs that could harm our business.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numerous federal, state and local environmental, health and safety, and laboratory animal welfare laws and regulations. These legal requirements include those governing laboratory procedures and the handling, use, storage, treatment and disposal of hazardous materials and wastes as well as those which regulate the care and use of animals in research. Our operations will involve research using research animals and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maintain insurance for environmental liability or toxic tort claims that may be asserted against us in connection with our storage or disposal of biological, hazardous or radioactive materials.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and laboratory animal welfare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labor and employment laws and regulations could subject us to legal liability and costs, including fines or penalties, as well as reputational damage that could harm our business.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numerous federal, state and local laws and regulations relating to the recruiting, hiring, compensation and treatment of employees and contractors. These laws and regulations cover financial compensation (including wage and hour standards), benefits (including insurance and 401K plans), discrimination, workplace safety and health, benefits, and workers’ compensation.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Commonwealth of Massachusetts also has laws that expand on federal laws or create additional rights for employees or obligations for employers. For example, on July 1, 2018, the Massachusetts Equal Pay Act went into effect, which added protections employers must comply with regarding pay equity for “comparable work”. There is currently uncertainty regarding the exact scope of these new legal limits and such uncertainty may remain for the foreseeable future. We may face increased employment and legal costs to ensure we are complying with this law. In addition, on October 1, 2018, a new Massachusetts non-compete law went into effect, placing additional restrictions on employers seeking to enter into non-competition agreements with employees. This law may negatively impact our ability to prevent employees from working with direct or indirect competitors in the future and may affect our ability to retain key talent in a competitive market.</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failure to comply with these and other related laws could expose us to civil and, in some cases, criminal liability, including fines and penalties. Further, government or employee claims that we have violated any of these laws, even if ultimately disproven, could result in increased expense and management distraction, as well as have an adverse reputational impact on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Third Party and Licensed Intellectual Property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against us, our licensors or our collaborators may prevent or delay our product discovery and development efforts.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commercial success depends in part on our avoiding infringement of the valid patents and proprietary rights of third parties.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jc w:val="both"/>
        <w:spacing w:after="0" w:line="253" w:lineRule="auto"/>
        <w:rPr>
          <w:sz w:val="20"/>
          <w:szCs w:val="20"/>
          <w:color w:val="auto"/>
        </w:rPr>
      </w:pPr>
      <w:r>
        <w:rPr>
          <w:rFonts w:ascii="Arial" w:cs="Arial" w:eastAsia="Arial" w:hAnsi="Arial"/>
          <w:sz w:val="18"/>
          <w:szCs w:val="18"/>
          <w:color w:val="auto"/>
        </w:rPr>
        <w:t>Numerous U.S. and foreign issued patents and pending patent applications owned by third parties exist in the fields in which we are developing our product candidates and in areas potentially related to components and methods we use or may use in our research and development efforts. As industry, government, academia and other biotechnology and pharmaceutical research expands and more patents are issued, the risk increases that our product candidates may give rise to claims of infringement of the patent rights of others. Our development candidates are complex and may include multiple components such as Cas9 protein or mRNA encoding Cas9 protein, guide RNAs, targeting molecules, or formulation components such as lipids. We cannot guarantee that any of these components of our technology, processes, future product candidates or the use of such product candidates do not infringe third-party patents. It is also possible that we have failed to identify relevant third-party patents or applications. Because patent rights are granted jurisdiction-by-jurisdiction, our freedom to practice certain technologies, including our ability to research, develop and commercialize our product candidates, may differ by country.</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Third parties may assert that we infringe their patents or that we are otherwise employing their proprietary technology without authorization, and may sue us. There may be third-party patents of which we are currently unaware with claims to compositions, formulations, methods of manufacture or methods of use or treatment that cover product candidates we discover and develop.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or the manufacture, use or sale of our product candidates infringes upon these patents. If any such third-party patents were held by a court of competent jurisdiction to cover our technologies or product candidates, the holders of any such patents may be able to block our ability to commercialize the applicable product candidate unless we obtain a license under the applicable patents, or until such patents expire or are finally determined to be held invalid or unenforceable. Such a license may not be available on commercially reasonable terms or at all. Even if we were able to obtain a license, it could be non-exclusive, thereby giving our competitors access to the same technologies licensed to us. We could be forced, including by court order, to cease commercializing, manufacturing or importing the infringing technology or product. In addition, we could be found liable for monetary damages, including treble damages and attorneys’ fees if we are found to have willfully infringed a patent. A finding of infringement could prevent us from commercializing one or more of our product candidates, force us to redesign our infringing products or force us to cease some or all of our business operations, any of which could materially harm our business and could prevent us from further developing and commercializing our proposed future product candidates thereby causing us significant harm. Claims that we have misappropriated the confidential information or trade secrets of third parties could have a similar negative impact on our business. If we are unable to obtain a necessary license to a third-party patent on commercially reasonable terms, our ability to commercialize our product candidates may be impaired or delayed, which could in turn significantly harm our business.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Third parties may seek to claim intellectual property rights that encompass or overlap with intellectual property that we own or license from them or others. Legal proceedings may be initiated to determine the scope and ownership of these rights, and could result in our loss of rights, including injunctions or other equitable relief that could effectively block our ability to further develop and commercialize our product candidates. For example, through the Caribou License, we sublicense the rights of the Regents of the University of California and the University of Vienna (collectively, “UC/Vienna”) to a worldwide patent portfolio that covers methods of use and compositions relating to engineered CRISPR/Cas9 systems for, among other things, cleaving or editing DNA and altering gene product expression in various organisms, including eukaryotic cells. We sublicense the UC/Vienna rights to this portfolio for human therapeutic, prophylactic and palliative uses, including companion diagnostics, except for anti-fungal and anti-microbial uses. This patent portfolio to-date includes, for example, multiple granted, allowed, and/or allowable patent applications in the U.S., as well as granted patents from the European Patent Office, the United Kingdom’s Intellectual Property Office, the German Patent and Trade Mark Office, Australia’s Intellectual Property agency and China’s Intellectual Property Office, among others. Because UC/Vienna co-own this portfolio with Dr. Emmanuelle Charpentier (from whom we do not have sublicense rights), we refer to this co-owned worldwide patent portfolio as the UC/Vienna/Charpentier patent family. UC/Vienna could challenge Caribou’s rights under their license agreement, including Caribou’s right to sublicense its rights to others, such as Intellia, and on what terms such a sublicense would be granted, each of which could adversely impact our rights under our license agreement with Caribou.</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Similarly, on October 17, 2018, we initiated an arbitration proceeding with JAMS against Caribou asserting that Caribou violated the terms and conditions of the Caribou License, as well as other contractual and legal rights, by using and seeking to license to third parties technology covered by two patent families (described in, for instance, PCT No. PCT/US2016/015145 and PCT No. PCT/US2016/064860, and related patents and applications) relating to specific structural or chemical modifications of guide RNAs, that were purportedly invented or controlled by Caribou, in our exclusive human therapeutic field. Caribou asserted that the two families of IP are outside our exclusive license rights under the Caribou License.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jc w:val="both"/>
        <w:spacing w:after="0" w:line="272" w:lineRule="auto"/>
        <w:rPr>
          <w:sz w:val="20"/>
          <w:szCs w:val="20"/>
          <w:color w:val="auto"/>
        </w:rPr>
      </w:pPr>
      <w:r>
        <w:rPr>
          <w:rFonts w:ascii="Arial" w:cs="Arial" w:eastAsia="Arial" w:hAnsi="Arial"/>
          <w:sz w:val="17"/>
          <w:szCs w:val="17"/>
          <w:color w:val="auto"/>
        </w:rPr>
        <w:t>On September 26, 2019, we announced that the arbitration panel issued an interim award concluding that both the structural and chemical guide RNAs modification technologies were exclusively licensed to us by Caribou under the Caribou License. After concluding that the chemical modification technology was within the scope of our exclusive license from Caribou, the arbitration panel nevertheless noted that its decision could delay or otherwise adversely impact the development of these modified guide RNAs as human therapeutics. It also noted that we currently are not using these modified guide RNAs in any of our active programs. Thus, solely with respect to the particular modified guide RNAs, the arbitration panel stated that it will declare that Caribou has an equitable “leaseback,” which it described as exclusive, perpetual and worldwide (the “Caribou Award”). The panel instructed the parties to negotiate the terms of the Caribou Award, including Caribou’s future payments to us for the same.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September 2019 interim award, the Caribou Award by the panel does not include the structural guide modifications intellectual property at issue in the arbitration, any other intellectual property exclusively licensed or sublicensed by Caribou to us under the Caribou License (including but not limited to the foundational CRISPR/Cas9 intellectual property co-owned by University of California, University of Vienna and Dr. Emmanuelle Charpentier), or any other of our intellectual property.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6, 2020, after considering additional submissions from the parties, the panel clarified that the Caribou Award is limited to a particular on-going Caribou program, which seeks to develop a CAR-T cell product directed at CD19, known as CB-010. The panel instructed the parties to seek to negotiate terms based on this scope.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16, 2021, we executed a Leaseback agreement with Caribou, which settled the arbitration. Under the Leaseback agreement, in exchange for an upfront payment, potential future regulatory and sales milestones, and single-digit royalties payable by Caribou to us, we have agreed to leaseback or sublicense certain CRISPR/Cas9 IP, including our chemical gRNA modification technology and foundational CRISPR/Cas9 IP, to Caribou so that it can develop and commercialize CB-010. Caribou also will be responsible for any payments required in respect of our in-licensed IP, such as the foundational CRISPR/Cas9 IP. Under the Leaseback agreement, Caribou will be able to compete with us (or our licensees) in the development of CAR-T cell human therapeutics directed at CD19, which could adversely affect our business.</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Third parties could assert that UC/Vienna/Charpentier do not have rights to the CRISPR/Cas9 technology, including inventorship and ownership rights to currently issued or allowable patents, or that any rights owned by UC/Vienna/Charpentier are limited. If such third parties were found to have rights to the CRISPR/Cas9 technology, we could be required to obtain rights from such parties or cease our development and commercialization efforts. For example, under our sublicense from Caribou, we have rights to patent applications owned by UC/Vienna Charpentier covering certain aspects of CRISPR/Cas9 systems to edit genes in eukaryotic cells, including human cells (collectively, the “UC/Vienna/Charpentier eukaryotic patent family”). The Broad Institute, Massachusetts Institute of Technology, the President and Fellows of Harvard College and the Rockefeller University (collectively, the “Broad Institute”) co-own patents and patent applications that also claim CRISPR/Cas9 systems to edit genes in eukaryotic cells (collectively, the “Broad Institute patent family”). Because the respective owners of various UC/Vienna/Charpentier patent applications and the Broad Institute patent family both allege owning intellectual property claiming overlapping aspects of CRISPR/Cas9 systems and methods to edit genes in eukaryotic cells, including human cells, our ability to market and sell CRISPR/Cas9-based human therapeutics may be adversely impacted depending on the scope and actual ownership over the inventions claimed in the competing patent portfolios. On June 25, 2019, the Patent Trial and Appeal Board (“PTAB”) of the U.S. Patent and Trademark Office (“USPTO”) declared an interference between the UC/Vienna/Charpentier eukaryotic patent family and the Broad Institute patent family to determine which research group first invented the use of the CRISPR/Cas9 technology in eukaryotic cells and, therefore, is entitled to the patents covering the invention. On August 26, 2019, the PTAB redeclared the interference to include additional UC/Vienna/Charpentier patent applications covering the invention that had also been found allowable by the USPTO. On September 10, 2020, the PTAB issued an order that, among other matters, advanced the proceeding to the priority phase, where both UC/Vienna/Charpentier, which will have the burden of proof, and the Broad Institute will present their respective evidence seeking to prove that they, invented first. As of June 30, 2021, the interference involves 14 allowable patent applications from the UC/Vienna/Charpentier eukaryotic patent family and 13 patents and one patent application from the Broad Institute patent family.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14, 2020, the PTAB declared an additional interference between the same 14 allowable patent applications in the UC/Vienna/Charpentier portfolio, and one patent application owned by ToolGen, Inc. And, on June 21, 2021, the PTAB declared another interference between the same UC/Vienna/Charpentier 14 allowable patent applications and one patent application owned by Sigma-Aldrich Co. LLC (a subsidiary of Merck KGaA). Because the patent applications involved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jc w:val="both"/>
        <w:spacing w:after="0" w:line="257" w:lineRule="auto"/>
        <w:rPr>
          <w:sz w:val="20"/>
          <w:szCs w:val="20"/>
          <w:color w:val="auto"/>
        </w:rPr>
      </w:pPr>
      <w:r>
        <w:rPr>
          <w:rFonts w:ascii="Arial" w:cs="Arial" w:eastAsia="Arial" w:hAnsi="Arial"/>
          <w:sz w:val="18"/>
          <w:szCs w:val="18"/>
          <w:color w:val="auto"/>
        </w:rPr>
        <w:t>these interferences also purport to cover the use of CRISPR/Cas9 for gene editing in eukaryotic cells, the PTAB seeks to determine between the various groups which one invented first and is entitled to the resulting patents. These two latter interferences are still in their motion phases where the PTAB may consider, among other matters, which party will have the burden of proof in their respective priority phases. If either the Broad, ToolGen or Sigma-Aldrich were to succeed in their respective interference, the prevailing party or parties could seek to assert its issued patents against us based on our CRISPR/Cas9-based activities, including commercialization.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other third parties, such as Vilnius University, and Harvard University, filed patent applications claiming CRISPR/Cas9-related inventions around or within a year after the UC/Vienna/Charpentier application was filed and allege (or may allege) that they invented one or more of the inventions claimed by UC/Vienna/Charpentier before UC/Vienna/Charpentier. If the USPTO deems the scope of the claims of one or more of these parties to sufficiently overlap with the allowable claims from the UC/Vienna/Charpentier application, the USPTO could declare other interference proceedings to determine the actual inventor of such claims. If these third-parties were to prevail in their inventorship claims or obtain patent claims that cover our product candidates or related activities through these various legal proceedings, then we could be prevented from utilizing the intellectual property we have licensed from Caribou, as well as from developing and commercializing all or some of our products candidates unless we can obtain rights to the third-parties’ intellectual property, or avoid or invalidate it.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these third-parties, and others, have also filed patent applications and obtained patents covering aspects of the CRISPR/Cas9 technology in other key jurisdictions, including the EU members, the U.K., China and Japan. If these patents are deemed valid and cover our product candidates or related activities, we could be prevented from developing and commercializing all or some of our product candidates unless we license the relevant intellectual property or avoid it.</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Defense of any potential infringement claims, regardless of their merit, would involve substantial litigation expense, would be a substantial diversion of management and other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In that event, we could be unable to further develop and commercialize our product candidates, which could harm our business significantly.</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third parties and termination or modification of any of these licenses could result in the loss of significant rights, which would harm our business.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dependent on patents, know-how and proprietary technology, both our own and licensed from others, including Caribou, Novartis and Ospedale San Raffaele (“OSR”). Any termination of these licenses, loss by our licensors of the rights they receive from others, diminution of our rights or those of our licensors, or a finding that such intellectual property lacks legal effect, could result in the loss of significant rights and could harm our ability to commercialize any product candidates. For example, UC/Vienna could challenge Caribou’s rights under their agreement, including Caribou’s right to sublicense its rights to others, such as Intellia, and on what terms such a sublicense would be granted, each of which could adversely impact our rights under our agreement with Caribou. Similarly, Caribou or other licensors, or other third parties from which we derive rights, could challenge the scope of our licensed rights or fields under our license agreement, which could adversely impact our exclusive rights to use CRISPR/Cas9 technology in our human therapeutics field.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Disputes have and may arise between us and our licensors, our licensors and their licensors, or us and third parties that co-own intellectual property with our licensors or their licensors, regarding intellectual property subject to a license agreement, including those relating to:</w:t>
      </w:r>
    </w:p>
    <w:p>
      <w:pPr>
        <w:spacing w:after="0" w:line="62" w:lineRule="exact"/>
        <w:rPr>
          <w:sz w:val="20"/>
          <w:szCs w:val="20"/>
          <w:color w:val="auto"/>
        </w:rPr>
      </w:pPr>
    </w:p>
    <w:p>
      <w:pPr>
        <w:ind w:left="1060" w:hanging="52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rights, if any, granted under the license agreement and other interpretation-related issues;</w:t>
      </w:r>
    </w:p>
    <w:p>
      <w:pPr>
        <w:spacing w:after="0" w:line="144"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the extent to which our technology, products and processes infringe on, or derive from, intellectual property of the licensor that is not subject to the license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ind w:left="1060" w:right="20" w:hanging="52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our licensor or its licensor had the right to grant the license agreement, or whether they are compliant with their contractual obligations to their respective licensor(s);</w:t>
      </w:r>
    </w:p>
    <w:p>
      <w:pPr>
        <w:spacing w:after="0" w:line="62"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without their authorization;</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including those under collaborative development relationships;</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we are complying with our obligations with respect to the use of the licensed technology in relation to our development and commercialization of product candidates;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involvement in the prosecution, defense and enforcement of the licensed patents and our licensors’ overall patent strategy;</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allocation of ownership of inventions and know-how resulting from the joint creation or use of intellectual property by our licensors and by us and our partners; and</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or are insufficient to provide us the necessary rights to use the intellectual property, we may be unable to successfully develop and commercialize the affected product candidates. If we or any such licensors fail to adequately protect this intellectual property, our ability to commercialize our products could suffer.</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Patents relating to our product candidates are controlled by certain of our licensors or their respective licensors. Each of our licensors or their licensors generally has rights to file, prosecute, maintain and defend the patents we have licensed from such licensor. If these licensors or any future licensees and in some cases, co-owners from which we do not yet have licenses, having rights to file, prosecute, maintain, and defend our patent rights fail to adequately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by our licensors or their respective licensors have been or will be conducted in compliance with applicable laws and regulations or in our best interests, or will result in valid and enforceable patents or other intellectual property rights. Pursuant to the terms of the license agreements with our licensors, the licensors may have the right to control enforcement of our licensed patents or defense of any claims asserting the invalidity of these patents and, even if we are permitted to pursue such enforcement or defense, we cannot ensure the cooperation of our licensors or, in some cases, other necessary parties, such as the co-owners of the intellectual property from which we have not yet obtained a license. We cannot be certain that our licensors or their licensors, and in some cases, their respective co-owners, will allocate sufficient resources or prioritize their or our enforcement of such patents or defense of such claims to protect our interests in the licensed patents. For example, with respect to our sublicensed rights from Caribou to UC/Vienna/Charpentier intellectual property, UC retained the right to control the prosecution, enforcement and defense of this intellectual property in its license agreement with Caribou and, pursuant to an Invention Management Agreement, shares these responsibilities with CRISPR Therapeutics AG and, under certain circumstances, ERS Genomics, Ltd., as the designated managers of the intellectual property. For these reasons, UC may be unable or unwilling to prosecute certain patent claims that would be best for our product candidates, or enforce its patent rights against infringers of the UC/Vienna/Charpentier patent family.</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are not a party to legal actions or other disputes involving our licensed intellectual property,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or other technology for our product development pipeline.</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growth of our business will likely depend in part on our ability to acquire or in-license additional proprietary rights. For example, our programs may involve additional product candidates, delivery systems or technologies that may require the use of additional proprietary rights held by third parties, including competitors. Our ultimate product candidates may also require specific modifications or formulations to work effectively and efficiently. These modifications or formulations may be covered by intellectual property rights held by others, including competitors. We may be unable to acquire or in-license any relevant third-party intellectual property rights that we identify as necessary or important to our business operations.</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successfully obtain rights to valid third-party intellectual property or to maintain the existing intellectual property rights we have, we may have to abandon development of such program and our business and financial condition could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pay certain milestones and royalties under our license agreements with third-party licensors.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our current and future license agreements, we may be required to pay milestones and royalties based on our revenues, including sales revenues of our products, utilizing the technologies licensed or sublicensed from third parties, including Caribou, Novartis, Regeneron and OSR, and these milestones and royalty payments could adversely affect our ability to research, develop and obtain approval of product candidates, as well as the overall profitability for us of any products that we may seek to commercialize. In order to maintain our license rights under these license agreements, we will need to meet certain specified milestones, subject to certain cure provisions, in the development of our product candidates. Further, our licensors (or their licensors) or licensees may dispute the terms, including amounts, that we are required to pay under the respective license agreements. If these claims were to result in a material increase in the amounts that we are required to pay to our licensors, or in a claim of breach of the license, our ability to research, develop and obtain approval of product candidates, or to commercialize products, could be significantly impaired.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these agreements contain diligence milestones and we may not be successful in meeting all of the milestones in the future on a timely basis or at all. We will need to outsource and rely on third parties for many aspects of the clinical development, sales and marketing of our products covered under our license agreements. Delay or failure by these third parties could adversely affect the continuation of our license agreements with their third-party licensors.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Patents and Trademarks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products or product candidates, or asserting and defending our intellectual property rights that protect our products and technologies.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we will file additional patent applications both in the U.S. and in other countries, as appropriate. However, we cannot predict:</w:t>
      </w:r>
    </w:p>
    <w:p>
      <w:pPr>
        <w:spacing w:after="0" w:line="129" w:lineRule="exact"/>
        <w:rPr>
          <w:sz w:val="20"/>
          <w:szCs w:val="20"/>
          <w:color w:val="auto"/>
        </w:rPr>
      </w:pPr>
    </w:p>
    <w:p>
      <w:pPr>
        <w:ind w:left="1060" w:hanging="52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and when any patents will issue;</w:t>
      </w:r>
    </w:p>
    <w:p>
      <w:pPr>
        <w:spacing w:after="0" w:line="144"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degree and range of protection any issued patents will afford us against competitors, including whether third parties will find ways to invalidate or otherwise circumvent our patents;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ind w:left="1060" w:hanging="52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others will apply for or obtain patents claiming aspects similar to those covered by our patents and patent applications;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certain governments will appropriate our intellectual property rights and allow competitors to use them; or</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to assert or defend our patent rights, which may be costly whether we win or lose.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Composition of matter patents for biological and pharmaceutical products are generally considered to be the strongest form of intellectual property protection for those types of products, as such patents provide protection without regard to any method of use. We cannot be certain, however, that any claims in our pending or future patent applications covering the composition of matter of our product candidates will be considered patentable by the USPTO or by patent offices in foreign countries, or that the claims in any of our ultimately issued patents will be considered valid and enforceable by courts in the U.S. or foreign countries. Method of use patents protect the use of a product for the specified method, for example a method of treating a certain indication using a product.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or prosecute.</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strength of patents in the biotechnology and pharmaceutical field can be uncertain, and evaluating the scope of such patents involves complex legal and scientific analyses. The patent applications that we own or in-license may fail to result in issued patents with claims that cover any product candidates or uses thereof in the U.S. or in other foreign countries.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the patent prosecution process is expensive and time-consuming, and we may not be able to file and prosecute all necessary or desirable patent applications at a reasonable cost, in a timely manner, or in all jurisdictions.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or other necessary parties, such as the co-owners of the intellectual property from which we have not yet obtained a license, in order to enforce the licensed patent rights, and such cooperation may not be provided. Therefore, these patents and applications may not be prosecuted and enforced in a manner consistent with the best interests of our business.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laws of foreign countries may not protect our rights to the same extent as the laws of the U.S. and we may fail to seek or obtain patent protection in all major markets. For example, European patent law restricts the patentability of methods of treatment of the human body more than U.S. law does. Publications of discoveries in the scientific literature often lag behind the actual discoveries, and patent applications in the U.S. and other jurisdictions are typically not published until 18 months after filing, or in some cases not at all. Therefore, we will be unable to know with certainty whether we were the first to make any inventions claimed in any patents or patent applications, or that we were the first to file for patent protection of such inventions, nor can we know whether those from whom we license patents were the first to make the inventions claimed or were the first to file.</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owned and licensed patents may be challenged in the courts or patent offices in the U.S. and abroad. There is a substantial amount of litigation as well as administrative proceedings for challenging patents, including interference, derivation, reexamination, and other post-grant proceedings before the USPTO and oppositions and other comparable proceedings in foreign jurisdictions, involving patents and other intellectual property rights in the biotechnology and pharmaceutical industries, and we expect this to be true for the CRISPR/Cas9 space as well. Indeed, a number of third parties have filed oppositions challenging the validity, and seeking the revocation, of several CRISPR/Cas9 genome editing patents granted to UC/Vienna/Charpentier by the European Patent Office (“EPO”). To date, UC/Vienna/Charpentier have successfully defended before the EPO’s opposition division the validity of their first European patent, which covers compositions comprising Cas9 and single guide RNA molecules, as well as methods of editing DNA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using Cas9 and single guide RNAs. The opponents to this patent have appealed the decision of the EPO’s opposition division. If UC/Vienna/Charpentier fail in defending the validity of its first European patent, we may lose valuable intellectual property rights, such as the right to exclude others from using such intellectual property. Such an outcome could have a material adverse effect on our business in Europe. Similarly, third parties are opposing the other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jc w:val="both"/>
        <w:spacing w:after="0" w:line="290" w:lineRule="auto"/>
        <w:rPr>
          <w:sz w:val="20"/>
          <w:szCs w:val="20"/>
          <w:color w:val="auto"/>
        </w:rPr>
      </w:pPr>
      <w:r>
        <w:rPr>
          <w:rFonts w:ascii="Arial" w:cs="Arial" w:eastAsia="Arial" w:hAnsi="Arial"/>
          <w:sz w:val="16"/>
          <w:szCs w:val="16"/>
          <w:color w:val="auto"/>
        </w:rPr>
        <w:t xml:space="preserve">patents issued by the EPO to UC/Vienna/Charpentier, including their second European patent that was recently revoked by the EPO’s opposition division, a decision that UC/Vienna/Charpentier have appealed. Although the claims of these other patents are more limited in scope compared to the first European patent, the inability to defend their respective validity could result in loss of valuable rights. In addition, since the passage of the America Invents Act in 2013, U.S. law also provides for other procedures to challenge patents,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post-grant reviews, that add uncertainty to the possibility of challenge to our developed or licensed patents and patent applications in the future. Furthermore, for U.S.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See the above risk factor titled “</w:t>
      </w:r>
      <w:r>
        <w:rPr>
          <w:rFonts w:ascii="Arial" w:cs="Arial" w:eastAsia="Arial" w:hAnsi="Arial"/>
          <w:sz w:val="16"/>
          <w:szCs w:val="16"/>
          <w:i w:val="1"/>
          <w:iCs w:val="1"/>
          <w:color w:val="auto"/>
        </w:rPr>
        <w:t>Third-party claims of</w:t>
      </w:r>
      <w:r>
        <w:rPr>
          <w:rFonts w:ascii="Arial" w:cs="Arial" w:eastAsia="Arial" w:hAnsi="Arial"/>
          <w:sz w:val="16"/>
          <w:szCs w:val="16"/>
          <w:color w:val="auto"/>
        </w:rPr>
        <w:t xml:space="preserve"> </w:t>
      </w:r>
      <w:r>
        <w:rPr>
          <w:rFonts w:ascii="Arial" w:cs="Arial" w:eastAsia="Arial" w:hAnsi="Arial"/>
          <w:sz w:val="16"/>
          <w:szCs w:val="16"/>
          <w:i w:val="1"/>
          <w:iCs w:val="1"/>
          <w:color w:val="auto"/>
        </w:rPr>
        <w:t>intellectual property infringement against us, our licensors or our collaborators may prevent or delay our product discovery and development efforts</w:t>
      </w:r>
      <w:r>
        <w:rPr>
          <w:rFonts w:ascii="Arial" w:cs="Arial" w:eastAsia="Arial" w:hAnsi="Arial"/>
          <w:sz w:val="16"/>
          <w:szCs w:val="16"/>
          <w:color w:val="auto"/>
        </w:rPr>
        <w:t>.”</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Such challenges may result in loss of exclusivity or freedom to operate or in patent claims being narrowed, invalidated or held unenforceable, in whole or in part, which could limit our ability to practice the invention or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even if they are unchallenged, our patents and patent applications may not adequately protect our intellectual property or prevent others from designing their products to avoid being covered by our claims. If the breadth or strength of protection provided by the patent applications we hold is threatened, this could dissuade companies from collaborating with us to develop, and could threaten our ability to commercialize, product candidates. Further, if we encounter delays in our clinical trials, the period of time during which we could market product candidates under patent protection would be reduced. Because patent applications in the U.S. and most other countries are confidential for a period of time after filing, we cannot be certain that we were the first to file any patent application related to our product candidates.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pending and future patent applications or the patent applications that we obtain rights to through in-licensing arrangements may not result in patents being issued which protect our technology or future product candidates,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Litigation or other administrative proceedings challenging our intellectual property, including interferences,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and post-grant reviews, may result in a decision adverse to our interests and, even if we are successful, may result in substantial costs and distract our management and other employees. Furthermore, there could be public announcement of the results of hearings, motions or other interim proceedings or developments in any proceeding challenging the issuance, scope, validity and enforceability of our developed or licensed intellectual property. If securities analysts or investors perceive these results to be negative, it could have a substantial adverse effect on the price of our common stock.</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these potential negative developments could impact the scope, validity, enforceability or commercial value of our patent rights and, as a result, have material adverse effect on our business, financial condition, results of operations or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in the future be subject to claims that former employees, collaborators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For example, the UC/Vienna/Charpentier patent family that is covered by our license agreement with Caribou is co-owned by UC/Vienna and Dr. Charpentier, and our sublicense rights are derived from the first two co-owners and not from Dr. Charpentier. Therefore, our rights to these patents are not exclusive and third parties, including competitors, may have access to intellectual property that is important to our business. In addition, we may have inventorship disputes arise from conflicting obligations of collaborators, consultants or others who are involved in developing our technology and product candidates. Litigation or other legal proceedings may be necessary to defend against these and other claims challenging inventorship. If we fail in defending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jc w:val="both"/>
        <w:spacing w:after="0" w:line="286" w:lineRule="auto"/>
        <w:rPr>
          <w:sz w:val="20"/>
          <w:szCs w:val="20"/>
          <w:color w:val="auto"/>
        </w:rPr>
      </w:pPr>
      <w:r>
        <w:rPr>
          <w:rFonts w:ascii="Arial" w:cs="Arial" w:eastAsia="Arial" w:hAnsi="Arial"/>
          <w:sz w:val="17"/>
          <w:szCs w:val="17"/>
          <w:color w:val="auto"/>
        </w:rPr>
        <w:t>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limited intellectual property rights outside the U.S. Filing, prosecuting, maintaining and defending patents on product candidates in all countries throughout the world would be prohibitively expensive, and our intellectual property rights in some countries outside the U.S. can have a different scope and strength than do those in the U.S. In addition, the laws of some foreign countries, such as China, Brazil, Russia, India and South Africa,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U.S. These products may compete with our products and our patents or other intellectual property rights may not be effective or adequate to prevent them from competing. In addition, in jurisdictions outside the U.S., a license may not be enforceable unless all the owners of the intellectual property agree or consent to the license. Further, patients may choose to travel to countries in which we do not have intellectual property rights or which do not enforce these rights to obtain the products or treatment from competitors in such countries.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such as China, Brazil, Russia, India and South Africa,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the patents of our licensors or our licenses, which could be expensive, time-consuming, and unsuccessful.</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Competitors may infringe our patents or the patents of our licensors. To cease such infringement or unauthorized use, we may be required to file patent infringement claims, which can be expensive and time-consuming.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or derivation proceedings may result in a decision adverse to our interests and, even if we are successful, may result in substantial costs and distract our management and other employees.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if a party to our licenses, either a licensee or licensor, were to breach or challenge our rights under the relevant license agreement (or if one of our licensor’s own licensors were to challenge our licensor’s rights), we may have to initiate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jc w:val="both"/>
        <w:spacing w:after="0" w:line="272" w:lineRule="auto"/>
        <w:rPr>
          <w:sz w:val="20"/>
          <w:szCs w:val="20"/>
          <w:color w:val="auto"/>
        </w:rPr>
      </w:pPr>
      <w:r>
        <w:rPr>
          <w:rFonts w:ascii="Arial" w:cs="Arial" w:eastAsia="Arial" w:hAnsi="Arial"/>
          <w:sz w:val="17"/>
          <w:szCs w:val="17"/>
          <w:color w:val="auto"/>
        </w:rPr>
        <w:t>participate in a legal proceeding to enforce our rights. Any such legal proceeding could be expensive and time-consuming. In addition, if a court or other tribunal were to rule against us, we could lose key intellectual property and financial rights. Pursuing or defending against these legal claims, regardless of merits, would involve substantial legal expense and would be a substantial diversion of employee resources from our business. Furthermore, because of the substantial amount of discovery required in connection with intellectual property litigation or contractual litigation there is a risk that some of our confidential information could be compromised by disclosure during this type of litigation or proceeding.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before the USPTO or comparable foreign authority.</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If we or one of our licensing partners initiate legal proceedings against a third-party to enforce a patent covering one of our product candidates, the defendant could counterclaim that the patent covering our product candidate is invalid or unenforceable. In patent litigation in the U.S., defendant counterclaims alleging invalidity or unenforceability are commonplace, and there are numerous grounds upon which a third-party can assert invalidity or unenforceability of a patent. Third parties may also raise similar claims before administrative bodies in the U.S. or other jurisdictions, even outside the context of litigation. Such mechanisms include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would lose at least part, and perhaps all, of the patent protection on our product candidates. For example, as highlighted in the above risk factor entitled “</w:t>
      </w:r>
      <w:r>
        <w:rPr>
          <w:rFonts w:ascii="Arial" w:cs="Arial" w:eastAsia="Arial" w:hAnsi="Arial"/>
          <w:sz w:val="17"/>
          <w:szCs w:val="17"/>
          <w:i w:val="1"/>
          <w:iCs w:val="1"/>
          <w:color w:val="auto"/>
        </w:rPr>
        <w:t>We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unsuccessful in obtaining or maintaining adequate patent protection for one or more of our products or product candidates, or asserting and defending our intellectual property rights that protect our products and technologies”</w:t>
      </w:r>
      <w:r>
        <w:rPr>
          <w:rFonts w:ascii="Arial" w:cs="Arial" w:eastAsia="Arial" w:hAnsi="Arial"/>
          <w:sz w:val="17"/>
          <w:szCs w:val="17"/>
          <w:color w:val="auto"/>
        </w:rPr>
        <w:t>, various third parties have filed challenges to the validity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UC/Vienna/Charpentier’s European patents, which cover compositions comprising Cas9 and guide RNA (“gRNA”) molecules, as well as methods of editing DNA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or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using Cas9 and gRNAs. If UC/Vienna/Charpentier fail in defending the validity of these patents, we may lose valuable intellectual property rights, such as the exclusive right to use such intellectual property. Such an outcome could have a material adverse effect on our business in Europe.</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our trademarks and trade names are not adequately protected, then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future, potential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jc w:val="both"/>
        <w:spacing w:after="0" w:line="259" w:lineRule="auto"/>
        <w:rPr>
          <w:sz w:val="20"/>
          <w:szCs w:val="20"/>
          <w:color w:val="auto"/>
        </w:rPr>
      </w:pPr>
      <w:r>
        <w:rPr>
          <w:rFonts w:ascii="Arial" w:cs="Arial" w:eastAsia="Arial" w:hAnsi="Arial"/>
          <w:sz w:val="18"/>
          <w:szCs w:val="18"/>
          <w:color w:val="auto"/>
        </w:rPr>
        <w:t>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Confidentiality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our proprietary and confidential information. We also utilize proprietary processes for which it would be difficult to enforce patents. In addition, other elements of our product discovery and development processes involve proprietary know-how, information, or technology that is not covered by patents. Trade secrets, however, may be difficult to protect. We seek to protect our proprietary processes, in part, by entering into confidentiality agreements with our employees, consultants, outside scientific advisors, contractors, and collaborators, and we also rely on national and state laws requiring our directors, employees, contractors and collaborators to protect our proprietary information. Although we use reasonable efforts to protect our trade secrets, our employees, consultants, outside scientific advisors, contractors, and collaborators might intentionally or inadvertently disclose our trade secret information to competitors.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directors, consultants, or independent contractors have wrongfully used or disclosed confidential information of third parties.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biotechnology or pharmaceutical companies as well as academic research institutions. We may be subject to claims that we or our employees, directors, consultants, or independent contractors have inadvertently or otherwise used or disclosed confidential information of these third parties or our employees’ former employers. Litigation may be necessary to defend against these claims, which could result in money damages or a judicial order prohibiting the use of certain intellectual property. Even if we are successful in defending against these claims, litigation could result in substantial cost and be a distraction to our management and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Investment in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auto"/>
        </w:rPr>
        <w:t>The price of our common stock historically has been volatile, which may affect the price at which you could sell any shares of our common stock.</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for our common stock historically has been highly volatile and could continue to be subject to wide fluctuations in response to various factors. This volatility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w:t>
      </w:r>
    </w:p>
    <w:p>
      <w:pPr>
        <w:spacing w:after="0" w:line="79" w:lineRule="exact"/>
        <w:rPr>
          <w:sz w:val="20"/>
          <w:szCs w:val="20"/>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our or competing products or technologies;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issued patents, patent applications or other intellectual property rights;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results of our efforts to discover, develop, manufacture, acquire or in-license our current and additional product candidates or products;</w:t>
      </w:r>
    </w:p>
    <w:p>
      <w:pPr>
        <w:spacing w:after="0" w:line="167" w:lineRule="exact"/>
        <w:rPr>
          <w:rFonts w:ascii="Arial" w:cs="Arial" w:eastAsia="Arial" w:hAnsi="Arial"/>
          <w:sz w:val="16"/>
          <w:szCs w:val="16"/>
          <w:color w:val="auto"/>
        </w:rPr>
      </w:pPr>
    </w:p>
    <w:p>
      <w:pPr>
        <w:ind w:left="1060" w:hanging="526"/>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public perception of the safety of genome editing based therapeutics;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other factors summarized and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trading prices for our common stock and other biopharmaceutical companies have been highly volatile as a result of the COVID-19 pandemic. The extent to which the outbreak may impact our business, preclinical studies and ongoing and planned clinical trials will depend on future developments, which are highly uncertain and cannot be predicted with confidence, such as the emergence of new variants of the disease, the ability of governments to vaccinate their populations and that existing vaccines can treat any new variants effectively, the ultimate containment of the disease, the modification or lifting of travel restrictions and other actions implemented to contain the outbreak or address its impact, such as social distancing and quarantines or lock-downs in the U.S. and other countries, business closures or business disruptions, and the ultimate effectiveness of other actions taken in the U.S. and other countries to contain and address the disease. A resurgence or other negative developments relating to the pandemic may require us to again restrict access to our offices and laboratories, or to pause or suspend preclinical research and our clinical trial; and, further, may disrupt our manufacturing and supply chain or those of our third-party suppliers and manufacturers.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Companies trading in the stock market in general, and in The Nasdaq Global Market in particular, have also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may not publish an adequate amount of research on us, which may negatively impact the trading price for our stock. In addition, if one or more of the analysts who cover us downgrade our stock or publish inaccurate or unfavorable research about our business, our stock price would likely decline. Further, if our operating results fail to meet the forecasts of analysts, our stock price would likely decline. If one or more of these analysts cease coverage of us or fail to publish reports on us regularly, demand for our stock could decrease, which might cause our stock price and trading volume to decline.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Related to Ownership Generally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if they choose to act together, will be able to control or exercise significant influence over matters subject to stockholder approval.</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March 31, 2021, our executive officers, directors, 5% or greater stockholders and their affiliates beneficially owned approximately 47.4% of our outstanding voting stock. These stockholders may have the ability to influence us through their ownership positions. These stockholders may be able to determine all matters requiring stockholder approval. For example, these stockholders, acting together, may be able to control elections of directors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over the use of our cash, cash equivalents and marketable securities, and may not use them effectively.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has broad discretion to use our cash, cash equivalents and marketable securities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cash equivalents and marketable securities in a manner that does not produce income or that loses value.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compliance initiatives and corporate governance practices.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public company, and particularly since we are no longer an “emerging growth company” under applicable SEC regulations, we incur significant legal, accounting and other expenses.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Section 404 of the Sarbanes-Oxley Act of 2002 (“Section 404”), we are required to furnish a report by our management on our internal control over financial reporting, including an attestation report on internal control over financial reporting issued by our independent registered public accounting firm. We conduct a process each year to document and evaluate our internal control over financial reporting, which is both costly and challenging. In this regard, we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color w:val="auto"/>
        </w:rPr>
        <w:t>to conclude that our internal control over financial reporting is effective as required by Section 404. This could result in an adverse reaction in the financial markets due to a loss of confidence in the reliability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Future Financial Condition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stockholders and could cause our stock price to fall.</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need additional capital in the future to continue our planned operations in addition to the proceeds we received from our initial public offering (“IPO”) in May 2016 and follow-on public offerings in November 2017, June 2020, December 2020, and July 2021.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On August 23, 2019, we filed a Registration Statement on Form S-3, as amended (the “2019 Shelf”) with the SEC, which was declared effective on September 12, 2019 (File No. 333-233448) in relation to the registration of common stock, preferred stock, debt securities, warrants and units of any combination thereof. We also simultaneously entered into an Open Market Sale Agreement (the “2019 Sales Agreement”) with the Sales Agent, to provide for the offering, issuance and sale of up to an aggregate amount of $150.0 million of our common stock from time to time in “at-the-market” offerings under the 2019 Shelf and subject to the limitations thereof. We will pay to the Sales Agent cash commissions of 3.0% of the gross proceeds of sales of common stock under the 2019 Sales Agreement. In December 2019, we issued 287,231 shares of our common stock at an average price of $16.48 per share in accordance with the 2019 Sales Agreement for aggregate net proceeds of $4.4 million, after payment of cash commissions to the Sales Agent and approximately $0.2 million related to legal, accounting and other fees in connection with the sales. During the year ended December 31, 2020, we issued 2,270,161 shares of our common stock in a series of sales at an average price of $22.53 per share in accordance with the 2019 Sales Agreement, for aggregate net proceeds of $49.5 million after payment of cash commissions to the Sales Agent and legal, accounting and other fees in connection with the sales. During the three months ended June 30, 2021, we issued 641,709 shares of our common stock in a series of sales at an average price of $72.79 per share in accordance with the 2019 Sales Agreement, for aggregate net proceeds of $45.3 million after payment of cash commissions to Jefferies and approximately $0.1 million related to legal, accounting and other fees in connection with the sales. In June 2020, we issued 6,301,370 shares of our common stock, including the exercise in full by the underwriters of their option to purchase an additional 821,917 shares, at the public offering price of $18.25 per share pursuant to the 2019 Shelf for aggregate cash consideration of $107.7 million, after payment of commissions and fees and approximately $0.4 million related to legal, accounting and other fees in connection with the sales. In June 2020 we also issued 925,218 shares of our common stock to Regeneron in a private placement </w:t>
      </w:r>
      <w:r>
        <w:rPr>
          <w:rFonts w:ascii="Arial" w:cs="Arial" w:eastAsia="Arial" w:hAnsi="Arial"/>
          <w:sz w:val="16"/>
          <w:szCs w:val="16"/>
          <w:color w:val="212529"/>
        </w:rPr>
        <w:t>for an aggregate cash consideration of $30.0 million, or $32.42 per share, representing a 100% premium over the</w:t>
      </w:r>
      <w:r>
        <w:rPr>
          <w:rFonts w:ascii="Arial" w:cs="Arial" w:eastAsia="Arial" w:hAnsi="Arial"/>
          <w:sz w:val="16"/>
          <w:szCs w:val="16"/>
          <w:color w:val="auto"/>
        </w:rPr>
        <w:t xml:space="preserve"> </w:t>
      </w:r>
      <w:r>
        <w:rPr>
          <w:rFonts w:ascii="Arial" w:cs="Arial" w:eastAsia="Arial" w:hAnsi="Arial"/>
          <w:sz w:val="16"/>
          <w:szCs w:val="16"/>
          <w:color w:val="212529"/>
        </w:rPr>
        <w:t>volume-weighted average trading price of the Company’s common stock during the 30-day period prior to the closing</w:t>
      </w:r>
      <w:r>
        <w:rPr>
          <w:rFonts w:ascii="Arial" w:cs="Arial" w:eastAsia="Arial" w:hAnsi="Arial"/>
          <w:sz w:val="16"/>
          <w:szCs w:val="16"/>
          <w:color w:val="000000"/>
        </w:rPr>
        <w:t>. On November 30, 2020, we filed a</w:t>
      </w:r>
      <w:r>
        <w:rPr>
          <w:rFonts w:ascii="Arial" w:cs="Arial" w:eastAsia="Arial" w:hAnsi="Arial"/>
          <w:sz w:val="16"/>
          <w:szCs w:val="16"/>
          <w:color w:val="212529"/>
        </w:rPr>
        <w:t xml:space="preserve"> </w:t>
      </w:r>
      <w:r>
        <w:rPr>
          <w:rFonts w:ascii="Arial" w:cs="Arial" w:eastAsia="Arial" w:hAnsi="Arial"/>
          <w:sz w:val="16"/>
          <w:szCs w:val="16"/>
          <w:color w:val="000000"/>
        </w:rPr>
        <w:t>Registration Statement on Form S-3ASR (the “Universal Shelf”) with the SEC, which was automatically declared effective upon filing (File No. 333-251022) in relation to the registration of common stock, preferred stock, debt securities, warrants and units of any combination thereof. In December 2020, we issued 5,513,699 shares of our common stock, including the exercise in full by the underwriters of their option to purchase an additional 719,178 shares, at the public offering price of $36.50 per share pursuant to the Universal Shelf for aggregate cash consideration of $188.9 million, after deducting the underwriting discount, commissions and offering expenses. In July 2021, we issued 4,758,620 shares of our common stock, including the exercise in full by the underwriters of their option to purchase an additional 620,689 shares, at the public offering price of $145.00 per share pursuant to the Universal Shelf for aggregate cash consideration of approximately $648.1 million, after deducting the underwriting discount, commissions and estimated offering expenses. 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IPO continue to hold a substantial number of shares of our common stock that many of them are now able to sell in the public market. Significant portions of these shares are held by a relatively small number of stockholders. Sales by our stockholders of a substantial number of shares, or the expectation that such sales may occur, could significantly reduce the market price of our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auto"/>
        </w:rPr>
        <w:t>Risks Related to our Charter and Bylaws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difficult, limit attempts by our stockholders to replace or remove our current management and adversely affect our stock price.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stock. Among other things, the certificate of incorporation and by-laws:</w:t>
      </w:r>
    </w:p>
    <w:p>
      <w:pPr>
        <w:spacing w:after="0" w:line="79" w:lineRule="exact"/>
        <w:rPr>
          <w:sz w:val="20"/>
          <w:szCs w:val="20"/>
          <w:color w:val="auto"/>
        </w:rPr>
      </w:pPr>
    </w:p>
    <w:p>
      <w:pPr>
        <w:ind w:left="1060" w:right="20" w:hanging="52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permit the board of directors to issue up to 5,000,000 shares of preferred stock, with any rights, preferences and privileges as they may designate;</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44"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divide the board of directors into three classes;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44"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62" w:lineRule="exact"/>
        <w:rPr>
          <w:rFonts w:ascii="Arial" w:cs="Arial" w:eastAsia="Arial" w:hAnsi="Arial"/>
          <w:sz w:val="18"/>
          <w:szCs w:val="18"/>
          <w:color w:val="auto"/>
        </w:rPr>
      </w:pPr>
    </w:p>
    <w:p>
      <w:pPr>
        <w:jc w:val="both"/>
        <w:ind w:left="1060" w:hanging="526"/>
        <w:spacing w:after="0" w:line="263"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75" w:lineRule="exact"/>
        <w:rPr>
          <w:rFonts w:ascii="Arial" w:cs="Arial" w:eastAsia="Arial" w:hAnsi="Arial"/>
          <w:sz w:val="18"/>
          <w:szCs w:val="18"/>
          <w:color w:val="auto"/>
        </w:rPr>
      </w:pPr>
    </w:p>
    <w:p>
      <w:pPr>
        <w:ind w:left="1060" w:hanging="52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62" w:lineRule="exact"/>
        <w:rPr>
          <w:rFonts w:ascii="Arial" w:cs="Arial" w:eastAsia="Arial" w:hAnsi="Arial"/>
          <w:sz w:val="18"/>
          <w:szCs w:val="18"/>
          <w:color w:val="auto"/>
        </w:rPr>
      </w:pPr>
    </w:p>
    <w:p>
      <w:pPr>
        <w:jc w:val="both"/>
        <w:ind w:left="1060" w:hanging="526"/>
        <w:spacing w:after="0" w:line="263"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that, to the fullest extent permitted by law, a stockholder reimburse us for all fees, costs and expenses incurred by us in connection with a proceeding initiated by such stockholder in which such stockholder does not obtain a judgment on the merits that substantially achieves the full remedy sought;</w:t>
      </w:r>
    </w:p>
    <w:p>
      <w:pPr>
        <w:spacing w:after="0" w:line="75"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president, in the absence of a chief executive officer) or by the board of directors; and</w:t>
      </w:r>
    </w:p>
    <w:p>
      <w:pPr>
        <w:spacing w:after="0" w:line="62" w:lineRule="exact"/>
        <w:rPr>
          <w:rFonts w:ascii="Arial" w:cs="Arial" w:eastAsia="Arial" w:hAnsi="Arial"/>
          <w:sz w:val="18"/>
          <w:szCs w:val="18"/>
          <w:color w:val="auto"/>
        </w:rPr>
      </w:pPr>
    </w:p>
    <w:p>
      <w:pPr>
        <w:ind w:left="1060" w:hanging="526"/>
        <w:spacing w:after="0" w:line="308"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provide that stockholders will be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designate certain courts as the sole and exclusive forums for certain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and by-laws provide that, unless we consent in writing to the selection of an alternative forum, the Court of Chancery of the State of Delaware is the sole and exclusive forum for any state law claims for any derivative action or proceeding brought on our behalf alleging state law claims,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“Delaware Forum Provision”). The Delaware Forum Provision does not apply to claims arising under the Exchange Act or the Securities Act. Our by-laws further provide that the U.S. District Court for the District of Massachusetts will be the sole and exclusive forum for resolving any complaint asserting a cause of action arising under the Securities Act (the “Federal Forum Provision”). We have chosen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both"/>
        <w:spacing w:after="0" w:line="311" w:lineRule="auto"/>
        <w:rPr>
          <w:sz w:val="20"/>
          <w:szCs w:val="20"/>
          <w:color w:val="auto"/>
        </w:rPr>
      </w:pPr>
      <w:r>
        <w:rPr>
          <w:rFonts w:ascii="Arial" w:cs="Arial" w:eastAsia="Arial" w:hAnsi="Arial"/>
          <w:sz w:val="16"/>
          <w:szCs w:val="16"/>
          <w:color w:val="auto"/>
        </w:rPr>
        <w:t>U.S. District Court for the District of Massachusetts as the exclusive forum for such Securities Act causes of action because our principal executive offices are located in Cambridge, Massachusetts. Our by-laws provide that any person or entity purchasing or otherwise acquiring any interest in any shares of our common stock is deemed to have notice of and consented to the foregoing Delaware Forum Provision and the Federal Forum Provision.</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Delaware Forum Provision and the Federal Forum Provision may impose additional litigation costs on stockholders in pursuing the claims identified above, particularly if the stockholders do not reside in or near the State of Delaware or the Commonwealth of Massachusetts. Additionally, the Delaware Forum Provision and the Federal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Delaware Forum Provision and the Federal Forum Provision to be inapplicable or unenforceable in an action, we may incur additional costs associated with resolving such action in other jurisdictions, which could adversely affect our business and financial condition. The Court of Chancery of the State of Delaware or the U.S.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Tax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our business and financial condition.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laws and rules dealing with U.S. federal, state and local income taxation are routinely being reviewed and modified by governmental bodies, officials and regulatory agencies, including the Internal Revenue Service and the U.S. Treasury Department. Since we were founded in 2014, many such changes have been made and changes are likely to continue to occur in the future. It cannot be predicted whether, when, in what form, or with what effective dates, tax laws, regulations and rulings may be enacted, promulgated or issued, that could result in an increase in our or our stockholders’ tax liability.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December 31, 2020, we had federal and state NOLs of $372.5 million and $373.1 million, respectively, some of which begin to expire in 2034. Federal and certain state NOLs generated in taxable years ending after December 31, 2017 are not subject to expiration. As of December 31, 2020, we had federal and state research and development and other credit carryforwards of approximately $15.0 million and $10.3 million, which begin to expire in 2034 and 2029, respectively.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and development tax credits) to offset its post-change income or taxes may be limited. We may have experienced ownership changes in the past and may experience ownership changes in the future as a result of our initial public offering in May of 2016, follow-on offerings and/or subsequent shifts in our stock ownership (some of which shifts are outside our control). As a result, if we earn net taxable income, our ability to use our pre-change NOLs and research and development tax credits to offset such taxable income and income tax, respectively, could be subject to limitations. Similar provisions of state tax law may also apply. As a result, even if we attain profitability, we may be unable to use a material portion of our NOLs and other tax attributes.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Pr>
          <w:p>
            <w:pPr>
              <w:ind w:left="100"/>
              <w:spacing w:after="0"/>
              <w:rPr>
                <w:sz w:val="20"/>
                <w:szCs w:val="20"/>
                <w:color w:val="auto"/>
              </w:rPr>
            </w:pPr>
            <w:r>
              <w:rPr>
                <w:rFonts w:ascii="Arial" w:cs="Arial" w:eastAsia="Arial" w:hAnsi="Arial"/>
                <w:sz w:val="18"/>
                <w:szCs w:val="18"/>
                <w:color w:val="auto"/>
              </w:rPr>
              <w:t>10.1†</w:t>
            </w:r>
          </w:p>
        </w:tc>
        <w:tc>
          <w:tcPr>
            <w:tcW w:w="10160" w:type="dxa"/>
            <w:vAlign w:val="bottom"/>
            <w:tcBorders>
              <w:bottom w:val="single" w:sz="8" w:color="0000EE"/>
            </w:tcBorders>
            <w:gridSpan w:val="5"/>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Amendment N</w:t>
              </w:r>
              <w:r>
                <w:rPr>
                  <w:rFonts w:ascii="Arial" w:cs="Arial" w:eastAsia="Arial" w:hAnsi="Arial"/>
                  <w:sz w:val="21"/>
                  <w:szCs w:val="21"/>
                  <w:color w:val="0000EE"/>
                  <w:w w:val="91"/>
                </w:rPr>
                <w:t>o.</w:t>
              </w:r>
              <w:r>
                <w:rPr>
                  <w:rFonts w:ascii="Arial" w:cs="Arial" w:eastAsia="Arial" w:hAnsi="Arial"/>
                  <w:sz w:val="18"/>
                  <w:szCs w:val="18"/>
                  <w:color w:val="0000EE"/>
                  <w:w w:val="91"/>
                </w:rPr>
                <w:t xml:space="preserve"> 3 to License and Collaborative Research Agreement, dated as of June 14, 2021, by and between Registrant and Novartis</w:t>
              </w:r>
            </w:hyperlink>
          </w:p>
        </w:tc>
      </w:tr>
      <w:tr>
        <w:trPr>
          <w:trHeight w:val="196"/>
        </w:trPr>
        <w:tc>
          <w:tcPr>
            <w:tcW w:w="1080" w:type="dxa"/>
            <w:vAlign w:val="bottom"/>
          </w:tcPr>
          <w:p>
            <w:pPr>
              <w:spacing w:after="0"/>
              <w:rPr>
                <w:sz w:val="17"/>
                <w:szCs w:val="17"/>
                <w:color w:val="auto"/>
              </w:rPr>
            </w:pPr>
          </w:p>
        </w:tc>
        <w:tc>
          <w:tcPr>
            <w:tcW w:w="200" w:type="dxa"/>
            <w:vAlign w:val="bottom"/>
            <w:tcBorders>
              <w:bottom w:val="single" w:sz="8" w:color="0000EE"/>
            </w:tcBorders>
          </w:tcPr>
          <w:p>
            <w:pPr>
              <w:spacing w:after="0" w:line="196" w:lineRule="exact"/>
              <w:rPr>
                <w:rFonts w:ascii="Arial" w:cs="Arial" w:eastAsia="Arial" w:hAnsi="Arial"/>
                <w:sz w:val="18"/>
                <w:szCs w:val="18"/>
                <w:color w:val="0000EE"/>
                <w:w w:val="81"/>
              </w:rPr>
            </w:pPr>
            <w:hyperlink r:id="rId104">
              <w:r>
                <w:rPr>
                  <w:rFonts w:ascii="Arial" w:cs="Arial" w:eastAsia="Arial" w:hAnsi="Arial"/>
                  <w:sz w:val="18"/>
                  <w:szCs w:val="18"/>
                  <w:color w:val="0000EE"/>
                  <w:w w:val="81"/>
                </w:rPr>
                <w:t>(1)</w:t>
              </w:r>
            </w:hyperlink>
          </w:p>
        </w:tc>
        <w:tc>
          <w:tcPr>
            <w:tcW w:w="1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1016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the Chief Executive Officer pursuant to Rules 13a-14(a) or 15d-14(a) of the Securities Exchange Act of 1934, as adopted</w:t>
              </w:r>
            </w:hyperlink>
          </w:p>
        </w:tc>
      </w:tr>
      <w:tr>
        <w:trPr>
          <w:trHeight w:val="196"/>
        </w:trPr>
        <w:tc>
          <w:tcPr>
            <w:tcW w:w="1080" w:type="dxa"/>
            <w:vAlign w:val="bottom"/>
          </w:tcPr>
          <w:p>
            <w:pPr>
              <w:spacing w:after="0"/>
              <w:rPr>
                <w:sz w:val="17"/>
                <w:szCs w:val="17"/>
                <w:color w:val="auto"/>
              </w:rPr>
            </w:pPr>
          </w:p>
        </w:tc>
        <w:tc>
          <w:tcPr>
            <w:tcW w:w="45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pursuant to Section 302 of the Sarbanes-Oxley Act of 2002. (2)</w:t>
              </w:r>
            </w:hyperlink>
          </w:p>
        </w:tc>
        <w:tc>
          <w:tcPr>
            <w:tcW w:w="5600" w:type="dxa"/>
            <w:vAlign w:val="bottom"/>
            <w:gridSpan w:val="2"/>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10160" w:type="dxa"/>
            <w:vAlign w:val="bottom"/>
            <w:gridSpan w:val="5"/>
          </w:tcPr>
          <w:p>
            <w:pPr>
              <w:spacing w:after="0"/>
              <w:rPr>
                <w:rFonts w:ascii="Arial" w:cs="Arial" w:eastAsia="Arial" w:hAnsi="Arial"/>
                <w:sz w:val="18"/>
                <w:szCs w:val="18"/>
                <w:color w:val="0000EE"/>
                <w:w w:val="94"/>
              </w:rPr>
            </w:pPr>
            <w:hyperlink w:anchor="page85">
              <w:r>
                <w:rPr>
                  <w:rFonts w:ascii="Arial" w:cs="Arial" w:eastAsia="Arial" w:hAnsi="Arial"/>
                  <w:sz w:val="18"/>
                  <w:szCs w:val="18"/>
                  <w:color w:val="0000EE"/>
                  <w:w w:val="94"/>
                </w:rPr>
                <w:t>Certification of the Chief Financial Officer pursuant to Rules 13a-14(a) or 15d-14(a) of the Securities Exchange Act of 1934, as adopted</w:t>
              </w:r>
            </w:hyperlink>
          </w:p>
        </w:tc>
      </w:tr>
      <w:tr>
        <w:trPr>
          <w:trHeight w:val="196"/>
        </w:trPr>
        <w:tc>
          <w:tcPr>
            <w:tcW w:w="108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pursuant to Section 302 of the Sarbanes-Oxley Act of 2002. (2)</w:t>
              </w:r>
            </w:hyperlink>
          </w:p>
        </w:tc>
        <w:tc>
          <w:tcPr>
            <w:tcW w:w="5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32.1</w:t>
            </w:r>
          </w:p>
        </w:tc>
        <w:tc>
          <w:tcPr>
            <w:tcW w:w="1016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86">
              <w:r>
                <w:rPr>
                  <w:rFonts w:ascii="Arial" w:cs="Arial" w:eastAsia="Arial" w:hAnsi="Arial"/>
                  <w:sz w:val="18"/>
                  <w:szCs w:val="18"/>
                  <w:color w:val="0000EE"/>
                  <w:w w:val="94"/>
                </w:rPr>
                <w:t>Certifications pursuant to 18 U.S.C. Section 1350, as adopted pursuant to Section 906 of The Sarbanes-Oxley Act of 2002, by John M.</w:t>
              </w:r>
            </w:hyperlink>
          </w:p>
        </w:tc>
      </w:tr>
      <w:tr>
        <w:trPr>
          <w:trHeight w:val="196"/>
        </w:trPr>
        <w:tc>
          <w:tcPr>
            <w:tcW w:w="1080" w:type="dxa"/>
            <w:vAlign w:val="bottom"/>
          </w:tcPr>
          <w:p>
            <w:pPr>
              <w:spacing w:after="0"/>
              <w:rPr>
                <w:sz w:val="17"/>
                <w:szCs w:val="17"/>
                <w:color w:val="auto"/>
              </w:rPr>
            </w:pPr>
          </w:p>
        </w:tc>
        <w:tc>
          <w:tcPr>
            <w:tcW w:w="10160" w:type="dxa"/>
            <w:vAlign w:val="bottom"/>
            <w:gridSpan w:val="5"/>
          </w:tcPr>
          <w:p>
            <w:pPr>
              <w:spacing w:after="0" w:line="196" w:lineRule="exact"/>
              <w:rPr>
                <w:rFonts w:ascii="Arial" w:cs="Arial" w:eastAsia="Arial" w:hAnsi="Arial"/>
                <w:sz w:val="18"/>
                <w:szCs w:val="18"/>
                <w:color w:val="0000EE"/>
                <w:w w:val="95"/>
              </w:rPr>
            </w:pPr>
            <w:hyperlink w:anchor="page86">
              <w:r>
                <w:rPr>
                  <w:rFonts w:ascii="Arial" w:cs="Arial" w:eastAsia="Arial" w:hAnsi="Arial"/>
                  <w:sz w:val="18"/>
                  <w:szCs w:val="18"/>
                  <w:color w:val="0000EE"/>
                  <w:w w:val="95"/>
                </w:rPr>
                <w:t>Leonard, M.D., President and Chief Executive Officer of the Company, and Glenn Goddard, Executive Vice President, Chief Financial</w:t>
              </w:r>
            </w:hyperlink>
          </w:p>
        </w:tc>
      </w:tr>
      <w:tr>
        <w:trPr>
          <w:trHeight w:val="196"/>
        </w:trPr>
        <w:tc>
          <w:tcPr>
            <w:tcW w:w="1080" w:type="dxa"/>
            <w:vAlign w:val="bottom"/>
          </w:tcPr>
          <w:p>
            <w:pPr>
              <w:spacing w:after="0"/>
              <w:rPr>
                <w:sz w:val="17"/>
                <w:szCs w:val="17"/>
                <w:color w:val="auto"/>
              </w:rPr>
            </w:pPr>
          </w:p>
        </w:tc>
        <w:tc>
          <w:tcPr>
            <w:tcW w:w="101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Officer of the Company. (3)</w:t>
              </w:r>
            </w:hyperlink>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r>
      <w:tr>
        <w:trPr>
          <w:trHeight w:val="344"/>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5"/>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1080" w:type="dxa"/>
            <w:vAlign w:val="bottom"/>
          </w:tcPr>
          <w:p>
            <w:pPr>
              <w:spacing w:after="0"/>
              <w:rPr>
                <w:sz w:val="20"/>
                <w:szCs w:val="20"/>
                <w:color w:val="auto"/>
              </w:rPr>
            </w:pPr>
          </w:p>
        </w:tc>
        <w:tc>
          <w:tcPr>
            <w:tcW w:w="10160" w:type="dxa"/>
            <w:vAlign w:val="bottom"/>
            <w:gridSpan w:val="5"/>
          </w:tcPr>
          <w:p>
            <w:pPr>
              <w:spacing w:after="0"/>
              <w:rPr>
                <w:sz w:val="20"/>
                <w:szCs w:val="20"/>
                <w:color w:val="auto"/>
              </w:rPr>
            </w:pPr>
            <w:r>
              <w:rPr>
                <w:rFonts w:ascii="Arial" w:cs="Arial" w:eastAsia="Arial" w:hAnsi="Arial"/>
                <w:sz w:val="18"/>
                <w:szCs w:val="18"/>
                <w:color w:val="auto"/>
              </w:rPr>
              <w:t>within the Inline XBRL document. (2)</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 (2)</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 (2)</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 (2)</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 (2)</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 (2)</w:t>
            </w:r>
          </w:p>
        </w:tc>
      </w:tr>
    </w:tbl>
    <w:p>
      <w:pPr>
        <w:spacing w:after="0" w:line="107" w:lineRule="exact"/>
        <w:rPr>
          <w:sz w:val="20"/>
          <w:szCs w:val="20"/>
          <w:color w:val="auto"/>
        </w:rPr>
      </w:pPr>
    </w:p>
    <w:p>
      <w:pPr>
        <w:ind w:left="1080" w:hanging="1072"/>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34"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1912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4"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Portions of this exhibit (indicated by “[***]”) have been omitted pursuant to Item 601(b)(10) of Regulation S-K.</w:t>
      </w:r>
    </w:p>
    <w:p>
      <w:pPr>
        <w:spacing w:after="0" w:line="50" w:lineRule="exact"/>
        <w:rPr>
          <w:sz w:val="20"/>
          <w:szCs w:val="20"/>
          <w:color w:val="auto"/>
        </w:rPr>
      </w:pPr>
    </w:p>
    <w:p>
      <w:pPr>
        <w:ind w:left="540" w:hanging="532"/>
        <w:spacing w:after="0" w:line="27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001-37766) filed with the Securities and Exchange Commission on June 17, 2021.</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this Quarterly Report on Form 10-Q.</w:t>
      </w:r>
    </w:p>
    <w:p>
      <w:pPr>
        <w:spacing w:after="0" w:line="23" w:lineRule="exact"/>
        <w:rPr>
          <w:rFonts w:ascii="Arial" w:cs="Arial" w:eastAsia="Arial" w:hAnsi="Arial"/>
          <w:sz w:val="18"/>
          <w:szCs w:val="18"/>
          <w:color w:val="auto"/>
        </w:rPr>
      </w:pPr>
    </w:p>
    <w:p>
      <w:pPr>
        <w:jc w:val="both"/>
        <w:ind w:left="540" w:hanging="532"/>
        <w:spacing w:after="0" w:line="253"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INTELLIA THERAPEUTICS, INC.</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John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John M. Leonard, M.D.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Glenn G. Goddard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Glenn G. Goddard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RULE 15d-14(a) OF THE SECURITIES EXCHANGE ACT OF 1934,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John M. Leonard, M.D., certify that:</w:t>
      </w:r>
    </w:p>
    <w:p>
      <w:pPr>
        <w:spacing w:after="0" w:line="198" w:lineRule="exact"/>
        <w:rPr>
          <w:sz w:val="20"/>
          <w:szCs w:val="20"/>
          <w:color w:val="auto"/>
        </w:rPr>
      </w:pPr>
    </w:p>
    <w:p>
      <w:pPr>
        <w:ind w:left="1060" w:hanging="52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Intellia Therapeutics, Inc.;</w:t>
      </w:r>
    </w:p>
    <w:p>
      <w:pPr>
        <w:spacing w:after="0" w:line="211" w:lineRule="exact"/>
        <w:rPr>
          <w:rFonts w:ascii="Arial" w:cs="Arial" w:eastAsia="Arial" w:hAnsi="Arial"/>
          <w:sz w:val="18"/>
          <w:szCs w:val="18"/>
          <w:color w:val="auto"/>
        </w:rPr>
      </w:pPr>
    </w:p>
    <w:p>
      <w:pPr>
        <w:ind w:left="1060" w:right="180" w:hanging="526"/>
        <w:spacing w:after="0" w:line="263"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060" w:hanging="52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w:t>
      </w:r>
    </w:p>
    <w:p>
      <w:pPr>
        <w:spacing w:after="0" w:line="23" w:lineRule="exact"/>
        <w:rPr>
          <w:rFonts w:ascii="Arial" w:cs="Arial" w:eastAsia="Arial" w:hAnsi="Arial"/>
          <w:sz w:val="18"/>
          <w:szCs w:val="18"/>
          <w:color w:val="auto"/>
        </w:rPr>
      </w:pPr>
    </w:p>
    <w:p>
      <w:pPr>
        <w:ind w:left="1060" w:right="140"/>
        <w:spacing w:after="0" w:line="260" w:lineRule="auto"/>
        <w:rPr>
          <w:rFonts w:ascii="Arial" w:cs="Arial" w:eastAsia="Arial" w:hAnsi="Arial"/>
          <w:sz w:val="18"/>
          <w:szCs w:val="18"/>
          <w:color w:val="auto"/>
        </w:rPr>
      </w:pPr>
      <w:r>
        <w:rPr>
          <w:rFonts w:ascii="Arial" w:cs="Arial" w:eastAsia="Arial" w:hAnsi="Arial"/>
          <w:sz w:val="18"/>
          <w:szCs w:val="18"/>
          <w:color w:val="auto"/>
        </w:rPr>
        <w:t>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left="1060" w:right="340" w:hanging="526"/>
        <w:spacing w:after="0" w:line="291" w:lineRule="auto"/>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3" w:lineRule="exact"/>
        <w:rPr>
          <w:sz w:val="20"/>
          <w:szCs w:val="20"/>
          <w:color w:val="auto"/>
        </w:rPr>
      </w:pPr>
    </w:p>
    <w:p>
      <w:pPr>
        <w:ind w:left="1060" w:right="160" w:hanging="526"/>
        <w:spacing w:after="0" w:line="263"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60" w:right="280" w:hanging="526"/>
        <w:spacing w:after="0" w:line="263"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60" w:right="460" w:hanging="526"/>
        <w:spacing w:after="0" w:line="342" w:lineRule="auto"/>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hanging="526"/>
        <w:spacing w:after="0" w:line="263"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sz w:val="20"/>
          <w:szCs w:val="20"/>
          <w:color w:val="auto"/>
        </w:rPr>
      </w:pPr>
    </w:p>
    <w:p>
      <w:pPr>
        <w:ind w:left="1060" w:right="420" w:hanging="526"/>
        <w:spacing w:after="0" w:line="263"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sz w:val="20"/>
          <w:szCs w:val="20"/>
          <w:color w:val="auto"/>
        </w:rPr>
      </w:pPr>
    </w:p>
    <w:p>
      <w:pPr>
        <w:ind w:left="1060" w:right="700" w:hanging="526"/>
        <w:spacing w:after="0" w:line="342"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400" w:hanging="526"/>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M. Leonard,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 RULE 15d-14(a) OF THE SECURITIES EXCHANGE ACT OF 1934,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Glenn Goddard, certify that:</w:t>
      </w:r>
    </w:p>
    <w:p>
      <w:pPr>
        <w:spacing w:after="0" w:line="198" w:lineRule="exact"/>
        <w:rPr>
          <w:sz w:val="20"/>
          <w:szCs w:val="20"/>
          <w:color w:val="auto"/>
        </w:rPr>
      </w:pPr>
    </w:p>
    <w:p>
      <w:pPr>
        <w:ind w:left="1060" w:hanging="52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Intellia Therapeutics, Inc.;</w:t>
      </w:r>
    </w:p>
    <w:p>
      <w:pPr>
        <w:spacing w:after="0" w:line="211" w:lineRule="exact"/>
        <w:rPr>
          <w:rFonts w:ascii="Arial" w:cs="Arial" w:eastAsia="Arial" w:hAnsi="Arial"/>
          <w:sz w:val="18"/>
          <w:szCs w:val="18"/>
          <w:color w:val="auto"/>
        </w:rPr>
      </w:pPr>
    </w:p>
    <w:p>
      <w:pPr>
        <w:ind w:left="1060" w:right="180" w:hanging="526"/>
        <w:spacing w:after="0" w:line="263"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060" w:hanging="526"/>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w:t>
      </w:r>
    </w:p>
    <w:p>
      <w:pPr>
        <w:spacing w:after="0" w:line="23" w:lineRule="exact"/>
        <w:rPr>
          <w:rFonts w:ascii="Arial" w:cs="Arial" w:eastAsia="Arial" w:hAnsi="Arial"/>
          <w:sz w:val="18"/>
          <w:szCs w:val="18"/>
          <w:color w:val="auto"/>
        </w:rPr>
      </w:pPr>
    </w:p>
    <w:p>
      <w:pPr>
        <w:ind w:left="1060" w:right="140"/>
        <w:spacing w:after="0" w:line="260" w:lineRule="auto"/>
        <w:rPr>
          <w:rFonts w:ascii="Arial" w:cs="Arial" w:eastAsia="Arial" w:hAnsi="Arial"/>
          <w:sz w:val="18"/>
          <w:szCs w:val="18"/>
          <w:color w:val="auto"/>
        </w:rPr>
      </w:pPr>
      <w:r>
        <w:rPr>
          <w:rFonts w:ascii="Arial" w:cs="Arial" w:eastAsia="Arial" w:hAnsi="Arial"/>
          <w:sz w:val="18"/>
          <w:szCs w:val="18"/>
          <w:color w:val="auto"/>
        </w:rPr>
        <w:t>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left="1060" w:right="340" w:hanging="526"/>
        <w:spacing w:after="0" w:line="291"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0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89" w:lineRule="exact"/>
        <w:rPr>
          <w:sz w:val="20"/>
          <w:szCs w:val="20"/>
          <w:color w:val="auto"/>
        </w:rPr>
      </w:pPr>
    </w:p>
    <w:p>
      <w:pPr>
        <w:ind w:left="1060" w:right="160" w:hanging="526"/>
        <w:spacing w:after="0" w:line="263"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60" w:right="280" w:hanging="526"/>
        <w:spacing w:after="0" w:line="263"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60" w:right="460" w:hanging="526"/>
        <w:spacing w:after="0" w:line="342"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hanging="526"/>
        <w:spacing w:after="0" w:line="263"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sz w:val="20"/>
          <w:szCs w:val="20"/>
          <w:color w:val="auto"/>
        </w:rPr>
      </w:pPr>
    </w:p>
    <w:p>
      <w:pPr>
        <w:ind w:left="1060" w:right="420" w:hanging="526"/>
        <w:spacing w:after="0" w:line="263"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sz w:val="20"/>
          <w:szCs w:val="20"/>
          <w:color w:val="auto"/>
        </w:rPr>
      </w:pPr>
    </w:p>
    <w:p>
      <w:pPr>
        <w:ind w:left="1060" w:right="700" w:hanging="526"/>
        <w:spacing w:after="0" w:line="34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380" w:hanging="526"/>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Glenn Goddard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Glenn Goddard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CEO AND CFO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this Quarterly Report on Form 10-Q of Intellia Therapeutics, Inc. (the “Company”) for the period ended June 30, 2021, as filed with the Securities and Exchange Commission on the date hereof (the “Report”), each of the undersigned, John M. Leonard, M.D., President and Chief Executive Officer (Principal Executive Officer) of the Company, and Glenn Goddard, Executive Vice President and Chief Financial Officer (Principal Financial and Accounting Officer) of the Company, hereby certifies, pursuant to 18 U.S.C. (section) 1350, as adopted pursuant to (section) 906 of the Sarbanes-Oxley Act of 2002, that to the best of his knowledge:</w:t>
      </w:r>
    </w:p>
    <w:p>
      <w:pPr>
        <w:spacing w:after="0" w:line="80" w:lineRule="exact"/>
        <w:rPr>
          <w:sz w:val="20"/>
          <w:szCs w:val="20"/>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M. Leonard,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Glenn Goddard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Glenn Goddard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2"/>
    </w:lvl>
  </w:abstractNum>
  <w:abstractNum w:abstractNumId="4">
    <w:nsid w:val="6CEAF087"/>
    <w:multiLevelType w:val="hybridMultilevel"/>
    <w:lvl w:ilvl="0">
      <w:lvlJc w:val="left"/>
      <w:lvlText w:val="%1."/>
      <w:numFmt w:val="decimal"/>
      <w:start w:val="3"/>
    </w:lvl>
  </w:abstractNum>
  <w:abstractNum w:abstractNumId="5">
    <w:nsid w:val="22221A70"/>
    <w:multiLevelType w:val="hybridMultilevel"/>
    <w:lvl w:ilvl="0">
      <w:lvlJc w:val="left"/>
      <w:lvlText w:val="%1."/>
      <w:numFmt w:val="decimal"/>
      <w:start w:val="4"/>
    </w:lvl>
  </w:abstractNum>
  <w:abstractNum w:abstractNumId="6">
    <w:nsid w:val="4516DDE9"/>
    <w:multiLevelType w:val="hybridMultilevel"/>
    <w:lvl w:ilvl="0">
      <w:lvlJc w:val="left"/>
      <w:lvlText w:val="%1."/>
      <w:numFmt w:val="decimal"/>
      <w:start w:val="7"/>
    </w:lvl>
  </w:abstractNum>
  <w:abstractNum w:abstractNumId="7">
    <w:nsid w:val="3006C83E"/>
    <w:multiLevelType w:val="hybridMultilevel"/>
    <w:lvl w:ilvl="0">
      <w:lvlJc w:val="left"/>
      <w:lvlText w:val="%1."/>
      <w:numFmt w:val="decimal"/>
      <w:start w:val="8"/>
    </w:lvl>
  </w:abstractNum>
  <w:abstractNum w:abstractNumId="8">
    <w:nsid w:val="614FD4A1"/>
    <w:multiLevelType w:val="hybridMultilevel"/>
    <w:lvl w:ilvl="0">
      <w:lvlJc w:val="left"/>
      <w:lvlText w:val="%1."/>
      <w:numFmt w:val="decimal"/>
      <w:start w:val="9"/>
    </w:lvl>
  </w:abstractNum>
  <w:abstractNum w:abstractNumId="9">
    <w:nsid w:val="419AC241"/>
    <w:multiLevelType w:val="hybridMultilevel"/>
    <w:lvl w:ilvl="0">
      <w:lvlJc w:val="left"/>
      <w:lvlText w:val="%1."/>
      <w:numFmt w:val="decimal"/>
      <w:start w:val="10"/>
    </w:lvl>
  </w:abstractNum>
  <w:abstractNum w:abstractNumId="10">
    <w:nsid w:val="5577F8E1"/>
    <w:multiLevelType w:val="hybridMultilevel"/>
    <w:lvl w:ilvl="0">
      <w:lvlJc w:val="left"/>
      <w:lvlText w:val="%1."/>
      <w:numFmt w:val="decimal"/>
      <w:start w:val="11"/>
    </w:lvl>
  </w:abstractNum>
  <w:abstractNum w:abstractNumId="11">
    <w:nsid w:val="440BADFC"/>
    <w:multiLevelType w:val="hybridMultilevel"/>
    <w:lvl w:ilvl="0">
      <w:lvlJc w:val="left"/>
      <w:lvlText w:val="%1."/>
      <w:numFmt w:val="decimal"/>
      <w:start w:val="12"/>
    </w:lvl>
  </w:abstractNum>
  <w:abstractNum w:abstractNumId="12">
    <w:nsid w:val="5072367"/>
    <w:multiLevelType w:val="hybridMultilevel"/>
    <w:lvl w:ilvl="0">
      <w:lvlJc w:val="left"/>
      <w:lvlText w:val="%1."/>
      <w:numFmt w:val="decimal"/>
      <w:start w:val="13"/>
    </w:lvl>
  </w:abstractNum>
  <w:abstractNum w:abstractNumId="13">
    <w:nsid w:val="3804823E"/>
    <w:multiLevelType w:val="hybridMultilevel"/>
    <w:lvl w:ilvl="0">
      <w:lvlJc w:val="left"/>
      <w:lvlText w:val="•"/>
      <w:numFmt w:val="bullet"/>
      <w:start w:val="1"/>
    </w:lvl>
    <w:lvl w:ilvl="1">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lvl w:ilvl="1">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decimal"/>
      <w:start w:val="104"/>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decimal"/>
      <w:start w:val="5"/>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decimal"/>
      <w:start w:val="5"/>
    </w:lvl>
  </w:abstractNum>
  <w:abstractNum w:abstractNumId="57">
    <w:nsid w:val="47398C89"/>
    <w:multiLevelType w:val="hybridMultilevel"/>
    <w:lvl w:ilvl="0">
      <w:lvlJc w:val="left"/>
      <w:lvlText w:val="(%1)"/>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04" Type="http://schemas.openxmlformats.org/officeDocument/2006/relationships/hyperlink" Target="http://www.sec.gov/Archives/edgar/data/0001652130/000156459021033357/ntla-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2021-08-05T17:02:13Z</dcterms:created>
  <dcterms:modified xsi:type="dcterms:W3CDTF">2021-08-05T17:02:13Z</dcterms:modified>
</cp:coreProperties>
</file>