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la-20250331.htm"/>
      <w:bookmarkStart w:id="1" w:name="ksntla20250331"/>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UNITED STATES</w:t>
      </w:r>
    </w:p>
    <w:p>
      <w:pPr>
        <w:pStyle w:val="Heading2"/>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Heading1"/>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
        <w:gridCol w:w="9649"/>
      </w:tblGrid>
      <w:tr>
        <w:trPr/>
        <w:tc>
          <w:tcPr>
            <w:tcW w:w="556" w:type="dxa"/>
            <w:tcBorders/>
            <w:vAlign w:val="center"/>
          </w:tcPr>
          <w:p>
            <w:pPr>
              <w:pStyle w:val="TableContents"/>
              <w:bidi w:val="0"/>
              <w:spacing w:before="0" w:after="283"/>
              <w:jc w:val="left"/>
              <w:rPr>
                <w:sz w:val="4"/>
                <w:szCs w:val="4"/>
              </w:rPr>
            </w:pPr>
            <w:r>
              <w:rPr>
                <w:sz w:val="4"/>
                <w:szCs w:val="4"/>
              </w:rPr>
            </w:r>
          </w:p>
        </w:tc>
        <w:tc>
          <w:tcPr>
            <w:tcW w:w="9649"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Heading1"/>
              <w:bidi w:val="0"/>
              <w:spacing w:before="240" w:after="283"/>
              <w:jc w:val="left"/>
              <w:rPr>
                <w:color w:val="000000"/>
              </w:rPr>
            </w:pPr>
            <w:r>
              <w:rPr>
                <w:color w:val="000000"/>
              </w:rPr>
              <w:t>☒</w:t>
            </w:r>
          </w:p>
        </w:tc>
        <w:tc>
          <w:tcPr>
            <w:tcW w:w="9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March 31, 2025</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6"/>
        <w:gridCol w:w="9649"/>
      </w:tblGrid>
      <w:tr>
        <w:trPr/>
        <w:tc>
          <w:tcPr>
            <w:tcW w:w="556" w:type="dxa"/>
            <w:tcBorders/>
            <w:vAlign w:val="center"/>
          </w:tcPr>
          <w:p>
            <w:pPr>
              <w:pStyle w:val="TableContents"/>
              <w:bidi w:val="0"/>
              <w:spacing w:before="0" w:after="283"/>
              <w:jc w:val="left"/>
              <w:rPr>
                <w:sz w:val="4"/>
                <w:szCs w:val="4"/>
              </w:rPr>
            </w:pPr>
            <w:r>
              <w:rPr>
                <w:sz w:val="4"/>
                <w:szCs w:val="4"/>
              </w:rPr>
            </w:r>
          </w:p>
        </w:tc>
        <w:tc>
          <w:tcPr>
            <w:tcW w:w="9649"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Heading1"/>
              <w:bidi w:val="0"/>
              <w:spacing w:before="240" w:after="283"/>
              <w:jc w:val="left"/>
              <w:rPr>
                <w:color w:val="000000"/>
              </w:rPr>
            </w:pPr>
            <w:r>
              <w:rPr>
                <w:color w:val="000000"/>
              </w:rPr>
              <w:t>☐</w:t>
            </w:r>
          </w:p>
        </w:tc>
        <w:tc>
          <w:tcPr>
            <w:tcW w:w="96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001-37766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INTELLIA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612" w:type="dxa"/>
        <w:jc w:val="left"/>
        <w:tblInd w:w="0" w:type="dxa"/>
        <w:tblLayout w:type="fixed"/>
        <w:tblCellMar>
          <w:top w:w="28" w:type="dxa"/>
          <w:left w:w="28" w:type="dxa"/>
          <w:bottom w:w="28" w:type="dxa"/>
          <w:right w:w="28" w:type="dxa"/>
        </w:tblCellMar>
      </w:tblPr>
      <w:tblGrid>
        <w:gridCol w:w="4126"/>
        <w:gridCol w:w="1486"/>
      </w:tblGrid>
      <w:tr>
        <w:trPr/>
        <w:tc>
          <w:tcPr>
            <w:tcW w:w="41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36-4785571</w:t>
            </w:r>
          </w:p>
        </w:tc>
      </w:tr>
      <w:tr>
        <w:trPr/>
        <w:tc>
          <w:tcPr>
            <w:tcW w:w="4126" w:type="dxa"/>
            <w:tcBorders/>
            <w:tcMar>
              <w:top w:w="0" w:type="dxa"/>
              <w:left w:w="0" w:type="dxa"/>
              <w:bottom w:w="0" w:type="dxa"/>
              <w:right w:w="0" w:type="dxa"/>
            </w:tcMar>
            <w:vAlign w:val="center"/>
          </w:tcPr>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(State or Other Jurisdiction of</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4126" w:type="dxa"/>
            <w:tcBorders/>
            <w:tcMar>
              <w:top w:w="0" w:type="dxa"/>
              <w:left w:w="0" w:type="dxa"/>
              <w:bottom w:w="0" w:type="dxa"/>
              <w:right w:w="0" w:type="dxa"/>
            </w:tcMar>
            <w:vAlign w:val="center"/>
          </w:tcPr>
          <w:p>
            <w:pPr>
              <w:pStyle w:val="TableContents"/>
              <w:bidi w:val="0"/>
              <w:spacing w:before="0" w:after="1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40 Erie Street, Suite 130, Cambridge, Massachusetts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4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857-285-6200</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8163" w:type="dxa"/>
        <w:jc w:val="left"/>
        <w:tblInd w:w="0" w:type="dxa"/>
        <w:tblLayout w:type="fixed"/>
        <w:tblCellMar>
          <w:top w:w="28" w:type="dxa"/>
          <w:left w:w="28" w:type="dxa"/>
          <w:bottom w:w="28" w:type="dxa"/>
          <w:right w:w="28" w:type="dxa"/>
        </w:tblCellMar>
      </w:tblPr>
      <w:tblGrid>
        <w:gridCol w:w="3286"/>
        <w:gridCol w:w="139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Trade Symbol(s)</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39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NTLA</w:t>
            </w:r>
          </w:p>
        </w:tc>
        <w:tc>
          <w:tcPr>
            <w:tcW w:w="348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2101"/>
        <w:gridCol w:w="146"/>
        <w:gridCol w:w="316"/>
        <w:gridCol w:w="146"/>
        <w:gridCol w:w="2026"/>
        <w:gridCol w:w="14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The number of shares outstanding of the registrant’s common stock as of April 30, 2025: 103,583,394</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Times New Roman" w:hAnsi="Times New Roman"/>
                  <w:b/>
                  <w:color w:val="0000FF"/>
                  <w:sz w:val="20"/>
                  <w:u w:val="single"/>
                </w:rPr>
                <w:t>PART I - FINANCIAL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color w:val="0000FF"/>
                  <w:sz w:val="20"/>
                  <w:u w:val="single"/>
                </w:rPr>
                <w:t>Item 1.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_unaudited">
              <w:r>
                <w:rPr>
                  <w:rStyle w:val="InternetLink"/>
                  <w:rFonts w:ascii="Times New Roman" w:hAnsi="Times New Roman"/>
                  <w:color w:val="000080"/>
                  <w:sz w:val="20"/>
                  <w:u w:val="single"/>
                </w:rPr>
                <w:t>Condensed Consolidated Balance Sheets as of March 31, 2025</w:t>
              </w:r>
            </w:hyperlink>
            <w:hyperlink w:anchor="consolidated_balance_sheets_unaudited">
              <w:r>
                <w:rPr>
                  <w:rStyle w:val="InternetLink"/>
                  <w:rFonts w:ascii="Times New Roman" w:hAnsi="Times New Roman"/>
                  <w:color w:val="000080"/>
                  <w:sz w:val="20"/>
                  <w:u w:val="single"/>
                </w:rPr>
                <w:t xml:space="preserve"> and December 31,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unaud">
              <w:r>
                <w:rPr>
                  <w:rStyle w:val="InternetLink"/>
                  <w:rFonts w:ascii="Times New Roman" w:hAnsi="Times New Roman"/>
                  <w:color w:val="0000FF"/>
                  <w:sz w:val="20"/>
                  <w:u w:val="single"/>
                </w:rPr>
                <w:t>Condensed Consolidated Statements of Operations and Comprehensive Loss for the Three Months Ended March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sse">
              <w:r>
                <w:rPr>
                  <w:rStyle w:val="InternetLink"/>
                  <w:rFonts w:ascii="Times New Roman" w:hAnsi="Times New Roman"/>
                  <w:color w:val="0000FF"/>
                  <w:sz w:val="20"/>
                  <w:u w:val="single"/>
                </w:rPr>
                <w:t>Condensed Consolidated Statements of Stockholders’ Equity for the Three Months Ended March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_unaud">
              <w:r>
                <w:rPr>
                  <w:rStyle w:val="InternetLink"/>
                  <w:rFonts w:ascii="Times New Roman" w:hAnsi="Times New Roman"/>
                  <w:color w:val="0000FF"/>
                  <w:sz w:val="20"/>
                  <w:u w:val="single"/>
                </w:rPr>
                <w:t>Condensed Consolidated Statements of Cash Flows for the</w:t>
              </w:r>
            </w:hyperlink>
            <w:hyperlink w:anchor="consolidated_statements_cash_flows_unaud">
              <w:r>
                <w:rPr>
                  <w:rStyle w:val="InternetLink"/>
                  <w:rFonts w:ascii="Times New Roman" w:hAnsi="Times New Roman"/>
                  <w:color w:val="0000FF"/>
                  <w:sz w:val="20"/>
                </w:rPr>
                <w:t xml:space="preserve"> </w:t>
              </w:r>
            </w:hyperlink>
            <w:hyperlink w:anchor="consolidated_statements_sse">
              <w:r>
                <w:rPr>
                  <w:rStyle w:val="InternetLink"/>
                  <w:rFonts w:ascii="Times New Roman" w:hAnsi="Times New Roman"/>
                  <w:color w:val="0000FF"/>
                  <w:sz w:val="20"/>
                  <w:u w:val="single"/>
                </w:rPr>
                <w:t>Three Months Ended March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management_discussion_and_analysi">
              <w:r>
                <w:rPr>
                  <w:rStyle w:val="InternetLink"/>
                  <w:rFonts w:ascii="Times New Roman" w:hAnsi="Times New Roman"/>
                  <w:b/>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color w:val="0000FF"/>
                  <w:sz w:val="20"/>
                  <w:u w:val="single"/>
                </w:rPr>
                <w:t>Item 4. Controls and Procedures</w:t>
              </w:r>
            </w:hyperlink>
            <w:hyperlink w:anchor="item_4_controls_procedures">
              <w:r>
                <w:rPr>
                  <w:rStyle w:val="InternetLink"/>
                  <w:rFonts w:ascii="Times New Roman" w:hAnsi="Times New Roman"/>
                  <w:color w:val="0000FF"/>
                  <w:sz w:val="20"/>
                  <w:u w:val="single"/>
                </w:rPr>
                <w:t>.</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jc w:val="center"/>
              <w:rPr/>
            </w:pPr>
            <w:hyperlink w:anchor="item_ii_other_information">
              <w:r>
                <w:rPr>
                  <w:rStyle w:val="InternetLink"/>
                  <w:rFonts w:ascii="Times New Roman" w:hAnsi="Times New Roman"/>
                  <w:b/>
                  <w:color w:val="0000FF"/>
                  <w:sz w:val="20"/>
                  <w:u w:val="single"/>
                </w:rPr>
                <w:t>PART II - OTHER INFORMATION</w:t>
              </w:r>
            </w:hyperlink>
          </w:p>
          <w:p>
            <w:pPr>
              <w:pStyle w:val="TableContents"/>
              <w:bidi w:val="0"/>
              <w:spacing w:before="0" w:after="283"/>
              <w:jc w:val="left"/>
              <w:rPr/>
            </w:pPr>
            <w:hyperlink w:anchor="item_1_legal_proceedings">
              <w:r>
                <w:rPr>
                  <w:rStyle w:val="InternetLink"/>
                  <w:rFonts w:ascii="Times New Roman" w:hAnsi="Times New Roman"/>
                  <w:b/>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w:t>
              </w:r>
            </w:hyperlink>
            <w:hyperlink w:anchor="item_2_unregistered_sales_equity_securit">
              <w:r>
                <w:rPr>
                  <w:rStyle w:val="InternetLink"/>
                  <w:rFonts w:ascii="Times New Roman" w:hAnsi="Times New Roman"/>
                  <w:b/>
                  <w:color w:val="0000FF"/>
                  <w:sz w:val="20"/>
                  <w:u w:val="single"/>
                </w:rPr>
                <w:t>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toc_page">
              <w:r>
                <w:rPr>
                  <w:rStyle w:val="InternetLink"/>
                  <w:rFonts w:ascii="Times New Roman" w:hAnsi="Times New Roman"/>
                  <w:b/>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item_6_exhibits_">
              <w:r>
                <w:rPr>
                  <w:rStyle w:val="InternetLink"/>
                  <w:rFonts w:ascii="Times New Roman" w:hAnsi="Times New Roman"/>
                  <w:b/>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spacing w:before="12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4" w:name="consolidated_balance_sheets_unaudited"/>
      <w:bookmarkEnd w:id="4"/>
      <w:r>
        <w:rPr>
          <w:rFonts w:ascii="Times New Roman" w:hAnsi="Times New Roman"/>
          <w:b/>
          <w:color w:val="000000"/>
          <w:sz w:val="20"/>
        </w:rPr>
        <w:t>Condensed Consolidated Balance</w:t>
      </w:r>
      <w:r>
        <w:rPr>
          <w:rFonts w:ascii="Times New Roman" w:hAnsi="Times New Roman"/>
          <w:color w:val="000000"/>
          <w:sz w:val="20"/>
        </w:rPr>
        <w:t xml:space="preserve"> </w:t>
      </w:r>
      <w:r>
        <w:rPr>
          <w:rFonts w:ascii="Times New Roman" w:hAnsi="Times New Roman"/>
          <w:b/>
          <w:color w:val="000000"/>
          <w:sz w:val="20"/>
        </w:rPr>
        <w:t>Sheets (unaudited)</w:t>
      </w:r>
    </w:p>
    <w:p>
      <w:pPr>
        <w:pStyle w:val="TextBody"/>
        <w:bidi w:val="0"/>
        <w:jc w:val="center"/>
        <w:rPr>
          <w:rFonts w:ascii="Times New Roman" w:hAnsi="Times New Roman"/>
          <w:sz w:val="20"/>
        </w:rPr>
      </w:pPr>
      <w:r>
        <w:rPr>
          <w:rFonts w:ascii="Times New Roman" w:hAnsi="Times New Roman"/>
          <w:b/>
          <w:color w:val="000000"/>
          <w:sz w:val="20"/>
        </w:rPr>
        <w:t>(Amounts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51"/>
        <w:gridCol w:w="146"/>
        <w:gridCol w:w="196"/>
        <w:gridCol w:w="886"/>
        <w:gridCol w:w="166"/>
        <w:gridCol w:w="146"/>
        <w:gridCol w:w="199"/>
        <w:gridCol w:w="902"/>
        <w:gridCol w:w="613"/>
      </w:tblGrid>
      <w:tr>
        <w:trPr/>
        <w:tc>
          <w:tcPr>
            <w:tcW w:w="6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92"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189,182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412,333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639,863</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260,215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219,292</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1,191,015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592"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55,355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110,851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189,952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319,059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240,000,000</w:t>
            </w:r>
            <w:r>
              <w:rPr>
                <w:rFonts w:ascii="Times New Roman" w:hAnsi="Times New Roman"/>
                <w:color w:val="000000"/>
                <w:sz w:val="20"/>
              </w:rPr>
              <w:t> </w:t>
            </w:r>
            <w:r>
              <w:rPr>
                <w:rFonts w:ascii="Times New Roman" w:hAnsi="Times New Roman"/>
                <w:color w:val="000000"/>
                <w:sz w:val="18"/>
              </w:rPr>
              <w:t>shares authorized at March 31, 2025 and December 31, 2024; 103,539,685</w:t>
            </w:r>
            <w:r>
              <w:rPr>
                <w:rFonts w:ascii="Times New Roman" w:hAnsi="Times New Roman"/>
                <w:color w:val="000000"/>
                <w:sz w:val="20"/>
              </w:rPr>
              <w:t> </w:t>
            </w:r>
            <w:r>
              <w:rPr>
                <w:rFonts w:ascii="Times New Roman" w:hAnsi="Times New Roman"/>
                <w:color w:val="000000"/>
                <w:sz w:val="18"/>
              </w:rPr>
              <w:t>and 102,029,594</w:t>
            </w:r>
            <w:r>
              <w:rPr>
                <w:rFonts w:ascii="Times New Roman" w:hAnsi="Times New Roman"/>
                <w:color w:val="000000"/>
                <w:sz w:val="20"/>
              </w:rPr>
              <w:t> </w:t>
            </w:r>
            <w:r>
              <w:rPr>
                <w:rFonts w:ascii="Times New Roman" w:hAnsi="Times New Roman"/>
                <w:color w:val="000000"/>
                <w:sz w:val="18"/>
              </w:rPr>
              <w:t>shares issued and outstanding at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3,048,741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(2,177,400</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871,956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1,191,015</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5" w:name="consolidated_statements_operations_unaud"/>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jc w:val="center"/>
        <w:rPr/>
      </w:pPr>
      <w:r>
        <w:rPr/>
        <w:t> </w:t>
      </w:r>
    </w:p>
    <w:tbl>
      <w:tblPr>
        <w:tblW w:w="7420" w:type="dxa"/>
        <w:jc w:val="left"/>
        <w:tblInd w:w="0" w:type="dxa"/>
        <w:tblLayout w:type="fixed"/>
        <w:tblCellMar>
          <w:top w:w="28" w:type="dxa"/>
          <w:left w:w="28" w:type="dxa"/>
          <w:bottom w:w="28" w:type="dxa"/>
          <w:right w:w="28" w:type="dxa"/>
        </w:tblCellMar>
      </w:tblPr>
      <w:tblGrid>
        <w:gridCol w:w="4101"/>
        <w:gridCol w:w="146"/>
        <w:gridCol w:w="211"/>
        <w:gridCol w:w="841"/>
        <w:gridCol w:w="166"/>
        <w:gridCol w:w="146"/>
        <w:gridCol w:w="211"/>
        <w:gridCol w:w="841"/>
        <w:gridCol w:w="166"/>
        <w:gridCol w:w="5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b/>
          <w:color w:val="000000"/>
          <w:sz w:val="20"/>
        </w:rPr>
      </w:pPr>
      <w:bookmarkStart w:id="6" w:name="consolidated_statements_sse"/>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81"/>
        <w:gridCol w:w="146"/>
        <w:gridCol w:w="841"/>
        <w:gridCol w:w="146"/>
        <w:gridCol w:w="146"/>
        <w:gridCol w:w="236"/>
        <w:gridCol w:w="335"/>
        <w:gridCol w:w="146"/>
        <w:gridCol w:w="146"/>
        <w:gridCol w:w="181"/>
        <w:gridCol w:w="691"/>
        <w:gridCol w:w="146"/>
        <w:gridCol w:w="146"/>
        <w:gridCol w:w="340"/>
        <w:gridCol w:w="851"/>
        <w:gridCol w:w="151"/>
        <w:gridCol w:w="146"/>
        <w:gridCol w:w="181"/>
        <w:gridCol w:w="736"/>
        <w:gridCol w:w="151"/>
        <w:gridCol w:w="146"/>
        <w:gridCol w:w="189"/>
        <w:gridCol w:w="729"/>
        <w:gridCol w:w="198"/>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102,029,594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3,048,741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(2,177,400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871,956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1,510,091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21,840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gain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(114,329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(114,329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103,539,685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3,070,581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(2,291,729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779,919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92,997,158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2,710,797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(1,658,379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1,050,169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Issuance of common stock through at-the-market offerings, net</w:t>
              <w:br/>
              <w:t>   of issuance costs of $210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55,959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1,015,543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34,176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comprehensive income (loss) - unrealized loss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 xml:space="preserve">Reclassification of other comprehensive income (loss) - </w:t>
              <w:br/>
              <w:t>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(107,436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(107,436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96,333,373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2,802,889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(1,765,815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1,036,137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6"/>
        </w:rPr>
      </w:pPr>
      <w:r>
        <w:rPr>
          <w:rFonts w:ascii="Times New Roman" w:hAnsi="Times New Roman"/>
          <w:color w:val="000000"/>
          <w:sz w:val="16"/>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7" w:name="consolidated_statements_cash_flows_unaud"/>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 (unaudited)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tbl>
      <w:tblPr>
        <w:tblW w:w="9546" w:type="dxa"/>
        <w:jc w:val="left"/>
        <w:tblInd w:w="0" w:type="dxa"/>
        <w:tblLayout w:type="fixed"/>
        <w:tblCellMar>
          <w:top w:w="28" w:type="dxa"/>
          <w:left w:w="28" w:type="dxa"/>
          <w:bottom w:w="28" w:type="dxa"/>
          <w:right w:w="28" w:type="dxa"/>
        </w:tblCellMar>
      </w:tblPr>
      <w:tblGrid>
        <w:gridCol w:w="6211"/>
        <w:gridCol w:w="146"/>
        <w:gridCol w:w="229"/>
        <w:gridCol w:w="878"/>
        <w:gridCol w:w="194"/>
        <w:gridCol w:w="170"/>
        <w:gridCol w:w="229"/>
        <w:gridCol w:w="878"/>
        <w:gridCol w:w="611"/>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investment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equity method investment intra-entity profit on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(29,028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(148,930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(83,209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178,272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94,328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proceeds from issuance of common stock through at-the-market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240,353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148,185</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of cash, cash equivalents and restricted cash</w:t>
              <w:br/>
              <w:t>   equivalents to condensed consolidated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126,880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equivalents, included in prepaid expenses and other current assets, and</w:t>
              <w:br/>
              <w:t>   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cash equivalents and restricted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148,185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Reduction of right-of-use assets from remeasurement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61,917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INTELLIA THERAPEUTICS,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w:t>
      </w:r>
      <w:r>
        <w:rPr>
          <w:rFonts w:ascii="Times New Roman" w:hAnsi="Times New Roman"/>
          <w:color w:val="000000"/>
          <w:sz w:val="20"/>
        </w:rPr>
        <w:t xml:space="preserve"> </w:t>
      </w:r>
      <w:r>
        <w:rPr>
          <w:rFonts w:ascii="Times New Roman" w:hAnsi="Times New Roman"/>
          <w:b/>
          <w:color w:val="000000"/>
          <w:sz w:val="20"/>
        </w:rPr>
        <w:t>Statements (unaudited)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Overview and Basis of Presentation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Intellia Therapeutics, Inc. (“Intellia” or the “Company”) is a leading clinical-stage gene editing company, focused on revolutionizing medicine with CRISPR-based therapies. CRISPR is a gene editing technology which is also sometimes referred to as CRISPR/Cas or CRISPR/Cas9 when referring to the use of CRISPR technology with the Cas9 enzyme. Since its inception, Intellia has focused on leveraging gene editing technology to develop novel, first-in-class medicines that address important unmet medical needs and advance the treatment paradigm for patients.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To fully realize the transformative potential of CRISPR-based technologies, the Company is building a full-spectrum gene editing company, by leveraging its modular platform, to advance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For </w:t>
      </w:r>
      <w:r>
        <w:rPr>
          <w:rFonts w:ascii="Times New Roman" w:hAnsi="Times New Roman"/>
          <w:i/>
          <w:color w:val="000000"/>
          <w:sz w:val="20"/>
        </w:rPr>
        <w:t>in vivo</w:t>
      </w:r>
      <w:r>
        <w:rPr>
          <w:rFonts w:ascii="Times New Roman" w:hAnsi="Times New Roman"/>
          <w:color w:val="000000"/>
          <w:sz w:val="20"/>
        </w:rPr>
        <w:t xml:space="preserve"> applications to address genetic diseases, the Company deploys CRISPR as the therapy. The Company’s </w:t>
      </w:r>
      <w:r>
        <w:rPr>
          <w:rFonts w:ascii="Times New Roman" w:hAnsi="Times New Roman"/>
          <w:i/>
          <w:color w:val="000000"/>
          <w:sz w:val="20"/>
        </w:rPr>
        <w:t>in vivo</w:t>
      </w:r>
      <w:r>
        <w:rPr>
          <w:rFonts w:ascii="Times New Roman" w:hAnsi="Times New Roman"/>
          <w:color w:val="000000"/>
          <w:sz w:val="20"/>
        </w:rPr>
        <w:t xml:space="preserve"> programs use CRISPR to enable precise editing of disease-causing genes directly inside the human body. In addition, the Company is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it uses CRISPR as the tool to create the engineered cell therapy. For its </w:t>
      </w:r>
      <w:r>
        <w:rPr>
          <w:rFonts w:ascii="Times New Roman" w:hAnsi="Times New Roman"/>
          <w:i/>
          <w:color w:val="000000"/>
          <w:sz w:val="20"/>
        </w:rPr>
        <w:t>ex vivo</w:t>
      </w:r>
      <w:r>
        <w:rPr>
          <w:rFonts w:ascii="Times New Roman" w:hAnsi="Times New Roman"/>
          <w:color w:val="000000"/>
          <w:sz w:val="20"/>
        </w:rPr>
        <w:t xml:space="preserve"> programs, CRISPR is used to engineer human cells outside the body.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of the Company included herein have been prepared, without audit, pursuant to the rules and regulations of the Securities and Exchange Commission (“SEC”). Certain information and footnote disclosures normally included in annual financial statements prepared in accordance with accounting principles generally accepted in the United States of America (“U.S. GAAP”)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(“Annual Report”) for the year ended December 31,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unaudited condensed consolidated financial statements include the accounts of Intellia Therapeutics, Inc. and its wholly- owned subsidiary, Intellia Securities Corp. All intercompany balances and transactions have been eliminated in consolidation. Comprehensive loss is comprised of net loss and unrealized gain/loss on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judgments and assumptions that affect the amounts reported in the financial statements and accompanying notes. Significant estimates in these condensed consolidated financial statements have been made in connection with the calculation of revenues, research and development expenses and stock-based compensation expense. The Company bases its estimates on historical experience and various other assumptions that management believes to be reasonable under the circumstances at the time such estimates are made. Actual results could differ from those estimates. The Company periodically reviews its estimates in light of changes in circumstances, facts and experience.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effects of material revisions in estimates, if any, would be reflected in the condensed consolidated financial statements prospectively from the date of the change in estimate.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sz w:val="20"/>
        </w:rPr>
      </w:pPr>
      <w:r>
        <w:rPr>
          <w:rFonts w:ascii="Times New Roman" w:hAnsi="Times New Roman"/>
          <w:color w:val="000000"/>
          <w:sz w:val="20"/>
        </w:rPr>
        <w:t>Since its inception through March 31, 2025, the Company has funded its operations through its initial public offering (“IPO”) and concurrent private placements, follow-on public offerings, at-the-market offerings and the sale of convertible preferred stock, as well as through its collaboration agreements. The Company expects that its cash, cash equivalents and marketable securities</w:t>
      </w:r>
      <w:r>
        <w:rPr>
          <w:rFonts w:ascii="Times New Roman" w:hAnsi="Times New Roman"/>
          <w:color w:val="FF0000"/>
          <w:sz w:val="20"/>
        </w:rPr>
        <w:t xml:space="preserve"> </w:t>
      </w:r>
      <w:r>
        <w:rPr>
          <w:rFonts w:ascii="Times New Roman" w:hAnsi="Times New Roman"/>
          <w:color w:val="000000"/>
          <w:sz w:val="20"/>
        </w:rPr>
        <w:t>as of March 31, 2025 will enable the Company to fund its ongoing operating expenses and capital expenditure requirements for at least the twelve-month period following the issuance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consolidated financial statements included in its Annual Report for the year ended December 31, 2024. There have been no material changes to these policies during the three months ended March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updates income tax disclosure requirements primarily by requiring specific categories and greater disaggregation within the rate reconciliation and disaggregation of income taxes paid by jurisdiction. This ASU is effective for annual periods beginning after December 15, 2024 and is applicable to the Company’s fiscal year beginning January 1, 2025, with early application permitted. The Company is currently evaluating the impact of adopting this ASU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b/>
          <w:i/>
          <w:color w:val="000000"/>
          <w:sz w:val="20"/>
        </w:rPr>
        <w:t>Recently Issued Accounting Pronouncements Not Yet Effective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This ASU requires disclosure of specified information about certain costs and expenses in the footnotes to the financial statements. This ASU is effective for annual periods beginning after December 15, 2026 and is applicable to the Company’s fiscal year beginning January 1, 2027, with early application permitted. The Company is currently evaluating the impact of adopting this ASU on its consolidated financial statements and disclosures.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Company’s available-for-sale marketable securities:</w:t>
      </w:r>
    </w:p>
    <w:tbl>
      <w:tblPr>
        <w:tblW w:w="10205" w:type="dxa"/>
        <w:jc w:val="left"/>
        <w:tblInd w:w="0" w:type="dxa"/>
        <w:tblLayout w:type="fixed"/>
        <w:tblCellMar>
          <w:top w:w="28" w:type="dxa"/>
          <w:left w:w="28" w:type="dxa"/>
          <w:bottom w:w="28" w:type="dxa"/>
          <w:right w:w="28" w:type="dxa"/>
        </w:tblCellMar>
      </w:tblPr>
      <w:tblGrid>
        <w:gridCol w:w="4208"/>
        <w:gridCol w:w="146"/>
        <w:gridCol w:w="211"/>
        <w:gridCol w:w="781"/>
        <w:gridCol w:w="146"/>
        <w:gridCol w:w="146"/>
        <w:gridCol w:w="351"/>
        <w:gridCol w:w="951"/>
        <w:gridCol w:w="146"/>
        <w:gridCol w:w="146"/>
        <w:gridCol w:w="396"/>
        <w:gridCol w:w="906"/>
        <w:gridCol w:w="166"/>
        <w:gridCol w:w="146"/>
        <w:gridCol w:w="247"/>
        <w:gridCol w:w="917"/>
        <w:gridCol w:w="195"/>
      </w:tblGrid>
      <w:tr>
        <w:trPr/>
        <w:tc>
          <w:tcPr>
            <w:tcW w:w="4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580,220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w:t>
              <w:br/>
              <w:t>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352,616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672,548</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amortized cost of available-for-sale securities is adjusted for amortization of premiums and accretion of discounts to maturity. There were no material realized gains or losses in the three months ended March 31, 2025 or the year ended December 31, 2024. The Company did not reclassify any amounts out of accumulated other comprehensive income during these periods. The Company generally does not intend to sell any investments prior to recovery of their amortized cost basis for any investment in an unrealized loss position. As such, the Company has classified these losses as temporary in nature.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available-for-sale securities that are classified as short-term marketable securities in the condensed consolidated balance sheets mature within one year or less as of the balance sheet date. Available-for-sale securities that are classified as noncurrent in the condensed consolidated balance sheets are those that mature after one year but within five years from the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balance sheet date and that the Company does not intend to dispose of within the next twelve months. At March 31, 2025 and December 31, 2024, the Company did not hold any marketable securities that matured beyond five years of the balance sheet date. Accrued interest on marketable securities is included in “Prepaid expenses and other current assets” on the Company's condensed consolidated balance sheets.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classifies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financial assets recognized at fair value on a recurring basis consisted of the following:</w:t>
      </w:r>
    </w:p>
    <w:tbl>
      <w:tblPr>
        <w:tblW w:w="9705" w:type="dxa"/>
        <w:jc w:val="left"/>
        <w:tblInd w:w="0" w:type="dxa"/>
        <w:tblLayout w:type="fixed"/>
        <w:tblCellMar>
          <w:top w:w="28" w:type="dxa"/>
          <w:left w:w="28" w:type="dxa"/>
          <w:bottom w:w="28" w:type="dxa"/>
          <w:right w:w="28" w:type="dxa"/>
        </w:tblCellMar>
      </w:tblPr>
      <w:tblGrid>
        <w:gridCol w:w="4686"/>
        <w:gridCol w:w="146"/>
        <w:gridCol w:w="211"/>
        <w:gridCol w:w="781"/>
        <w:gridCol w:w="146"/>
        <w:gridCol w:w="146"/>
        <w:gridCol w:w="211"/>
        <w:gridCol w:w="781"/>
        <w:gridCol w:w="146"/>
        <w:gridCol w:w="146"/>
        <w:gridCol w:w="211"/>
        <w:gridCol w:w="781"/>
        <w:gridCol w:w="146"/>
        <w:gridCol w:w="146"/>
        <w:gridCol w:w="352"/>
        <w:gridCol w:w="278"/>
        <w:gridCol w:w="391"/>
      </w:tblGrid>
      <w:tr>
        <w:trPr/>
        <w:tc>
          <w:tcPr>
            <w:tcW w:w="4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 Therapeutics,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and other government-backed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Financial institution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 Therapeutics,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Certain of the Company’s financial assets, including cash equivalents, restricted cash equivalents and marketable securities, have been initially valued at the transaction price, and subsequently revalued at the end of each reporting period, utilizing third party pricing services or other observable market data. The pricing services utilize industry standard valuation models and observable market inputs to determine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financial instruments, including accounts receivable, accounts payable and accrued expense, are carried at cost, which approximates fair value due to the short duration and term to maturity.</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determined that the estimated fair value of its investment in Kyverna Therapeutics, Inc. (“Kyverna”), a publicly traded company, is reported as Level 1 as it is valued at a quoted market price in an active market. The investment in Kyverna is classified within “Investments and other assets” in the condensed consolidated balance sheets.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Investments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SparingVision 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investment in SparingVision SAS (“SparingVision”) was initially recorded at fair value, determined according to Level 3 inputs in the fair value hierarchy described above. The SparingVision investment is included in “Investments and other assets” on the condensed consolidated balance sheets. This investment is accounted for using the measurement alternative at cost minus impairment, adjusted for changes in observable prices. There were no changes in observable prices or impairment of this investment as of March 31, 2025. The carrying value of the SparingVision investment was $14.6 million as of March 31, 2025 and December 31, 2024.</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AvenCell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investment in AvenCell Therapeutics, Inc. (“AvenCell”) was initially recorded at fair value, determined according to Level 3 inputs in the fair value hierarchy described above. The AvenCell investment is included in “Investments and other assets” on the condensed consolidated balance sheets. This investment is accounted for using the measurement alternative at cost minus impairment, adjusted for changes in observable prices. There were no changes in observable prices or impairment of this investment as of March 31, 2025. The Company previously accounted for the AvenCell investment under the equity method; refer to Note 8 for further details including the change in fair value. The carrying value of the AvenCell investment was $7.9 million as of March 31, 2025 and December 31,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consisted of the following:</w:t>
      </w:r>
    </w:p>
    <w:tbl>
      <w:tblPr>
        <w:tblW w:w="6017"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60"/>
        <w:gridCol w:w="835"/>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January 2025, the Company announced the prioritization of its current and near-term clinical programs and a strategic restructuring to streamline its operations. In connection with this portfolio prioritization and strategic restructuring, the Company reduced its employee headcount by approximately 27%. During the three months ended March 31, 2025, the Company recognized $6.5 million of restructuring charges in the condensed consolidated statement of operations and comprehensive loss related to these actions. These charges included severance and other employee termination-related costs. The workforce reductions were substantially complete as of March 31, 2025. As of March 31, 2025, there was $2.0 million in accrued expenses recorded as “employee compensation and benefits,” related to the restructuring, which the Company expects to be paid over the next six to nine months.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involved in legal and administrative proceedings and claims of various types. In some actions, the claimants seek damages, as well as other relief, which, if granted, would require significant expenditures.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to the Company and the amount of the loss can be reasonably estimated, the Company estimates and discloses the possible loss or range of loss. If the loss is not probable or cannot be reasonably estimated, a liability is not recorded in its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BlueAllele Corp. v. Intellia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8, 2024, BlueAllele Corp. (“BlueAllele”) filed a complaint alleging infringement by the Company of various patents in the U.S. District Court for the District of Delaware. Specifically, BlueAllele alleges that the Company’s experimentation, basic research, identification, optimization, manufacturing and/or use of bi-directional insertion template technology infringes the asserted patents and seeks unspecified compensatory damages and an injunction against the alleged infringing activities. On September 12, 2024, the Company filed a motion to dismiss the complaint, and on December 9, 2024, the court denied the Company’s motion to dismiss and discovery began. On January 6, 2025, the Company filed its answer and counterclaims, and BlueAllele filed a motion to dismiss the Company’s counterclaims on January 27, 2025. On February 21, 2025, the court substantially denied BlueAllele’s motion to dismiss, and granted the motion with respect to one counterclaim. At this stage, the Company is unable to determine the likelihood of an unfavorable outcome or estimate the amount or range of potential loss, if 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Gonzalez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11, 2025, a purported stockholder of the Company filed a lawsuit, captioned </w:t>
      </w:r>
      <w:r>
        <w:rPr>
          <w:rFonts w:ascii="Times New Roman" w:hAnsi="Times New Roman"/>
          <w:i/>
          <w:color w:val="000000"/>
          <w:sz w:val="20"/>
        </w:rPr>
        <w:t>Gonzalez v. Intellia Therapeutics, Inc.</w:t>
      </w:r>
      <w:r>
        <w:rPr>
          <w:rFonts w:ascii="Times New Roman" w:hAnsi="Times New Roman"/>
          <w:color w:val="000000"/>
          <w:sz w:val="20"/>
        </w:rPr>
        <w:t>, No. 1:25-cv-01353 (D. Mass.), in the U.S. District Court for the District of Massachusetts against the Company and certain of our officers on behalf of a putative class of stockholders who purchased Company shares from July 30, 2024 through January 8, 2025. The complaint alleges claims under Sections 10(b) and 20(a) and Rule 10b-5 of the Securities Exchange Act of 1934 (the “Exchange Act”) premised upon statements relating to the Company’s NTLA-3001 program and the demand for viral-based editing. The complaint seeks unspecified damages, interest, reasonable attorneys’ fees and other costs. The Company intends to defend vigorously against the claims. At this stage, the Company is unable to determine the likelihood of an unfavorable outcome or estimate the amount or range of potential loss,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2025, except as noted above, there have been no material changes to any outstanding litigation, nor is the Company a party to any material new litigation.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and Other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party to license and other agreements, which may include contingent payments. These payments could include up to $130.0 million related to Rewrite Therapeutics, Inc. (“Rewrite”), including $100.0 million upon achievement of a regulatory approval milestone and $30.0 million upon achievement of pre-specified research milestones. As of March 31, 2025, the satisfaction and timing of the contingent payments is uncertain and not reasonably estimable.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accelerate the development and commercialization of gene editing products in multiple therapeutic areas, the Company has formed, and intends to seek other opportunities to form, strategic alliances with collaborators who can augment its leadership in CRISPR/Cas9 therapeutic development. As of March 31, 2025, the Company’s accounts receivable and contract liabilities were related to its collaboration agreements.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presents changes in the Company’s accounts receivable and contract liabilities (in thousands):</w:t>
      </w:r>
    </w:p>
    <w:tbl>
      <w:tblPr>
        <w:tblW w:w="8452" w:type="dxa"/>
        <w:jc w:val="left"/>
        <w:tblInd w:w="0" w:type="dxa"/>
        <w:tblLayout w:type="fixed"/>
        <w:tblCellMar>
          <w:top w:w="28" w:type="dxa"/>
          <w:left w:w="28" w:type="dxa"/>
          <w:bottom w:w="28" w:type="dxa"/>
          <w:right w:w="28" w:type="dxa"/>
        </w:tblCellMar>
      </w:tblPr>
      <w:tblGrid>
        <w:gridCol w:w="3211"/>
        <w:gridCol w:w="146"/>
        <w:gridCol w:w="242"/>
        <w:gridCol w:w="778"/>
        <w:gridCol w:w="146"/>
        <w:gridCol w:w="146"/>
        <w:gridCol w:w="211"/>
        <w:gridCol w:w="676"/>
        <w:gridCol w:w="146"/>
        <w:gridCol w:w="146"/>
        <w:gridCol w:w="225"/>
        <w:gridCol w:w="676"/>
        <w:gridCol w:w="166"/>
        <w:gridCol w:w="146"/>
        <w:gridCol w:w="285"/>
        <w:gridCol w:w="915"/>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End</w:t>
              <w:br/>
              <w:t>of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recognized the following revenues as a result of changes in the contract liability balance (in thousands):</w:t>
      </w:r>
    </w:p>
    <w:tbl>
      <w:tblPr>
        <w:tblW w:w="8734" w:type="dxa"/>
        <w:jc w:val="left"/>
        <w:tblInd w:w="0" w:type="dxa"/>
        <w:tblLayout w:type="fixed"/>
        <w:tblCellMar>
          <w:top w:w="28" w:type="dxa"/>
          <w:left w:w="28" w:type="dxa"/>
          <w:bottom w:w="28" w:type="dxa"/>
          <w:right w:w="28" w:type="dxa"/>
        </w:tblCellMar>
      </w:tblPr>
      <w:tblGrid>
        <w:gridCol w:w="6001"/>
        <w:gridCol w:w="146"/>
        <w:gridCol w:w="272"/>
        <w:gridCol w:w="738"/>
        <w:gridCol w:w="188"/>
        <w:gridCol w:w="188"/>
        <w:gridCol w:w="272"/>
        <w:gridCol w:w="738"/>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recognized in the period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the contract liability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incurred significant expenses to obtain collaboration agreements and costs to fulfill those contracts do not generate or enhance resources of the Company. As such, no costs to obtain or fulfill a contract have been capitalized in any period.</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Collaboration Agreements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Regeneron Pharmaceuticals,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2016, the Company entered into a license and collaboration agreement with Regeneron Pharmaceuticals, Inc. (“Regeneron”) (as amended from time to time, the “2016 Regeneron Agreement”). In October 2023, Regeneron notified the Company that it was exercising its one-time option to extend the technology collaboration term for an additional two years, until April 2026, in exchange for a nonrefundable payment of $30.0 million that was paid in April 2024. The Company recognized $5.1 million and $5.2 million of collaboration revenue in the three months ended March 31, 2025 and 2024, respectively, in the condensed consolidated statements of operations and comprehensive loss related to the 2016 Regeneron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2025, Regeneron provided notice of the achievement of a development milestone for the hemophilia B program under the 2016 Regeneron Agreement. As a result of meeting this milestone, the Company recognized $1.8 million of previously constrained variable consideration as collaboration revenue within the condensed consolidated statement of operations and comprehensive loss in the three months ended March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2025, there was approximately $21.3 million of the aggregate transaction price remaining to be recognized that will be recognized through April 2026, the remaining period of the collaboration.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2018, the Company entered into a co-development and co-promotion (“Co/Co”) agreement with Regeneron for transthyretin (“ATTR”) amyloidosis (the “ATTR Co/Co”). In May 2020, the Company entered into co-development and co-funding agreements for the treatment of hemophilia A and hemophilia B (the “Hemophilia Co/Co”) agreements. In March 2024, the Company notified Regeneron that it was opting out of its hemophilia B Co/Co agreement. The Company continued to have obligations under the hemophilia B Co/Co agreement until the agreement ended in September 2024. The Company continues to support Regeneron with the development of gene editing products directed to hemophilia B, as applicable, under the 2016 Regeneron Agreement. That agreement will control the parties’ obligations to develop and commercialize gene editing products directed to hemophilia 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recognized $7.0 million and $4.7 million of collaboration revenue, primarily representing payments due from Regeneron pursuant to the ATTR Co/Co agreement, in the three months ended March 31,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contra-revenue related to the Hemophilia Co/Co agreements amounting to approximately $0.1 million and $3.3 million in the three months ended March 31, 2025 and 2024, respectively. The Company recognized $1.5 million related to the hemophilia B program in the three months ended March 31, 2025, representing cost reimbursements under the 2016 Regeneron Agreement.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2023, Regeneron and Intellia further expanded the research collaboration (the “2023 Regeneron Amendment”) to develop additional </w:t>
      </w:r>
      <w:r>
        <w:rPr>
          <w:rFonts w:ascii="Times New Roman" w:hAnsi="Times New Roman"/>
          <w:i/>
          <w:color w:val="000000"/>
          <w:sz w:val="20"/>
        </w:rPr>
        <w:t>in vivo</w:t>
      </w:r>
      <w:r>
        <w:rPr>
          <w:rFonts w:ascii="Times New Roman" w:hAnsi="Times New Roman"/>
          <w:color w:val="000000"/>
          <w:sz w:val="20"/>
        </w:rPr>
        <w:t xml:space="preserve"> CRISPR-based gene editing therapies focused on neurological and muscular diseases. The Company recognized $0.1 million and $0.6 million of collaboration revenue in the three months ended March 31, 2025 and 2024, respectively, in the condensed consolidated statements of operations and comprehensive loss related to the 2023 Regeneron Amendment.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December 31, 2024, there have been no material changes to the key terms of the 2016 Regeneron Agreement, ATTR Co/Co, Hemophilia Co/Co, or 2023 Regeneron Amendment (the “Regeneron Agreements”), other than as described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and December 31, 2024, the Company had accounts receivable of $9.2 million and $7.2 million, respectively, and deferred revenue of $21.3 million and $26.4 million, respectively, related to the Regeneron Agreements.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SparingVision 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2021, the Company and SparingVision, a genomic medicine company developing vision saving treatments for ocular diseases, entered into a license and collaboration agreement (the “SparingVision LCA”) to develop novel genomic medicines utilizing CRISPR/Cas9 technology for the treatment of ocular diseases.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December 31, 2024, there have been no material changes to the key terms of the SparingVision LCA.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recognized no revenue related to the SparingVision LCA for the three months ended March 31, 2025 and $0.5 million in revenue related to the SparingVision LCA for the three months ended March 31, 2024. As of March 31, 2025 and December 31, 2024, the Company had $0.2 million and $0.6 million in accounts receivable, respectively, related to the SparingVision LCA. The Company had deferred revenue of $12.5 million as of March 31, 2025 and December 31, 2024, related to the SparingVision LCA, which is expected to be recognized on a cost incurred basis over a six to nine year period from the signing of the agreement.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ReCode Therapeutics, Inc. (“ReCode”)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February 14, 2024, the Company entered into a license, collaboration and option agreement with ReCode Therapeutics, Inc. (the “ReCode LCA”), a clinical-stage genetic medicines company, to develop novel genomic medicines for the treatment of cystic fibrosis.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December 31, 2024, there have been no material changes to the key terms of the ReCode LCA.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entitled to cost reimbursements for certain research activities, which will be recorded as revenue. The Company did not recognize material revenue from the ReCode LCA during the three months ended March 31, 2025 and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Other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existing license and collaboration agreements with AvenCell, Kyverna, and ONK Therapeutics, Ltd. (“ONK”). Since December 31, 2024, there have been no material changes to the key terms of the AvenCell, Kyverna and ONK license and collaboration agreements.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2025 and 2024, the Company did not recognize material revenue under its agreements with Kyverna or ONK.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March 31, 2024, the Company recognized $21.0 million of previously eliminated intra-entity profit related to its license and collaboration agreement with AvenCell (the “AvenCell LCA”) in the condensed consolidated statement of operations and comprehensive loss. See Note 8 for further details. The Company recognized $1.0 million in revenue related to material shipments under the AvenCell LCA during the three months ended March 31, 2025. The Company had $1.0 million and $0.7 million in accounts receivable from AvenCell as of March 31, 2025 and December 31, 2024, respectively. The Company had $1.0 million in accrued expenses as of March 31, 2025 and December 31, 2024 related to the AvenCell LCA.</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Investments and Other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Investments and other assets consisted of the following:</w:t>
      </w:r>
    </w:p>
    <w:tbl>
      <w:tblPr>
        <w:tblW w:w="6332"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260"/>
        <w:gridCol w:w="835"/>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Kyverna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 Tech Square Lease,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equivalents,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assets,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u w:val="single"/>
        </w:rPr>
        <w:t>Other Investments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SparingVision SAS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2025 and December 31, 2024, the carrying value of the Company’s investment in SparingVision was $14.6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AvenCell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December 31, 2023, the Company held a 33.33% equity interest in AvenCell and accounted for its investment using the equity method of accounting, as the Company had significant influence, but not control, over AvenCell, and the investment was valued at $11.8 million. During the first quarter of 2024, in conjunction with the completion of a debt financing, AvenCell increased the size of their board, with a single investor having control over AvenCell’s operational and financial decisions. From that point forward, the Company no longer had the ability to exercise significant influence over AvenCell, and therefore the Company’s investment in AvenCell has been accounted for in accordance with Accounting Standard Codification (“ASC”) 321, </w:t>
      </w:r>
      <w:r>
        <w:rPr>
          <w:rFonts w:ascii="Times New Roman" w:hAnsi="Times New Roman"/>
          <w:i/>
          <w:color w:val="000000"/>
          <w:sz w:val="20"/>
        </w:rPr>
        <w:t>Investments in Equity Securities</w:t>
      </w:r>
      <w:r>
        <w:rPr>
          <w:rFonts w:ascii="Times New Roman" w:hAnsi="Times New Roman"/>
          <w:color w:val="000000"/>
          <w:sz w:val="20"/>
        </w:rPr>
        <w:t xml:space="preserve"> (“ASC 321”) and AvenCell is no longer considered to be a related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transition from equity method accounting to ASC 321 required the Company to reclassify $2.1 million from accumulated other comprehensive income (loss) and recognize $21.0 million of previously eliminated intra-entity profit, both of which resulted in an increase in the carrying value of the investment in AvenCell. In the fourth quarter of 2024, AvenCell completed a Series B financing, which represented an observable price change in the investment in AvenCell. As of March 31, 2025 and December 31, 2024, the carrying value of the Company’s investment in AvenCell was $7.9 million.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2022 and subsequently amended in June 2023, the Company entered into an agreement to lease approximately 140,000 square feet of office, general laboratory and manufacturing space at 840 Winter Street in Waltham, Massachusetts (the “840 Winter Lease”). On February 18, 2025, the Company entered into a Second Amendment (the “Winter Street Amendment”) that amends the 840 Winter Lease. Pursuant to the Winter Street Amendment, the 840 Winter Lease will terminate on or before June 30, 2028. In connection with the Winter Street Amendment, the Company will pay to the landlord lease modification payments totaling $78.0 million in three installments, with the first $34.0 million being paid in February 2025, a second $30.0 million payment in April 2025 and the remaining $14.0 million payment in January 2026. The Company is not subject to paying any base rent, operating expenses or other costs pursuant to the 840 Winter Lease after January 2025. In conjunction with the Winter Street Amendment, also on February 18, 2025, the Company entered into a Lease Agreement (the “Tech Square Lease”) with the same landlord as the 840 Winter Lease, for office and laboratory space located at 400 Technology Square, Cambridge, Massachusetts (“400 Tech Square”).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Under the terms of the Tech Square Lease, the Company will initially lease approximately 101,000 square feet at 400 Technology Square (the “Initial Tech Square Premises”). In addition, the Tech Square Lease will expand, in two tranches, to include approximately 46,000 square feet of additional office and laboratory space at 400 Tech Square (the “Additional Tech Square Premises”) when each such space becomes available. On July 1, 2025, the landlord will deliver the Initial Tech Square Premises to the Company for the Company’s construction of tenant improvements (the “Delivery Date”). The Company’s obligation to pay rent will start on the date that is approximately 14 months after the Delivery Date (the “Rent Commencement Date”). The initial term of the Tech Square Lease is twelve years and three months following the Rent Commencement Date, and the Company has an option to extend the Tech Square Lease for an additional term of five years. As of the Rent Commencement Date, the base rent under the Tech Square Lease is expected to be $108.00 per square foot per year, plus certain operating expenses and taxes. The base rent is subject to scheduled annual increases of 3% on the anniversary of the Delivery Date. In addition, the Company is entitled to receive up to $41.5 million of tenant improvement allowances for the Initial Tech Square Premises, and additional tenant allowances for the Additional Tech Square Premises. The construction of tenant improvements will be primarily funded by the tenant improvement allowance and is expected to be completed in the second half of 2026.</w:t>
      </w:r>
    </w:p>
    <w:p>
      <w:pPr>
        <w:pStyle w:val="TextBody"/>
        <w:bidi w:val="0"/>
        <w:spacing w:before="80" w:after="283"/>
        <w:jc w:val="both"/>
        <w:rPr>
          <w:rFonts w:ascii="Times New Roman" w:hAnsi="Times New Roman"/>
          <w:sz w:val="20"/>
        </w:rPr>
      </w:pPr>
      <w:r>
        <w:rPr>
          <w:rFonts w:ascii="Times New Roman" w:hAnsi="Times New Roman"/>
          <w:color w:val="000000"/>
          <w:sz w:val="20"/>
        </w:rPr>
        <w:t xml:space="preserve">The Company accounted for the Winter Street Amendment and Tech Square Lease as one combined contract under ASC 842, </w:t>
      </w:r>
      <w:r>
        <w:rPr>
          <w:rFonts w:ascii="Times New Roman" w:hAnsi="Times New Roman"/>
          <w:i/>
          <w:color w:val="000000"/>
          <w:sz w:val="20"/>
        </w:rPr>
        <w:t>Leases (Topic 842)</w:t>
      </w:r>
      <w:r>
        <w:rPr>
          <w:rFonts w:ascii="Times New Roman" w:hAnsi="Times New Roman"/>
          <w:color w:val="000000"/>
          <w:sz w:val="20"/>
        </w:rPr>
        <w:t xml:space="preserve">. The Company identified two lease components, 840 Winter and 400 Tech Square. The total consideration in the combined contract is $244.4 million, which includes the undiscounted remaining lease payments of the 840 Winter and 400 Tech Square components and the lease prepayments. The Company did not include the lease payments associated with the five-year extension option related to the Tech Square Lease as it is not reasonably certain of exercise. The Company allocated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$52.1 million to the 840 Winter component and $192.3 million to the 400 Tech Square component based on relative standalone selling prices.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accounted for the 840 Winter component as a lease modification as of February 18, 2025. The Company remeasured the lease liability as of the modification date based on the remaining lease payments and using an updated incremental borrowing rate of 6.6%, which resulted in a $61.9 million decrease in the lease liability and a corresponding decrease in the right of use asset. The Company recorded a modified lease liability of $46.5 million and a right of use asset of $50.0 million for the 840 Winter component. As of March 31, 2025, the lease liability and right-of-use asset were $27.9 million and $48.3 million, respectively.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As of March 31, 2025, the Tech Square component has not commenced as the Company has not taken control over the premises and therefore the Company did not record a right-of-use asset or lease liability. The Company has recorded $26.8 million of prepaid rent related to the Tech Square component within “Investments and other assets” on the condensed consolidated balance sheets as of March 31,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table below reconciles the undiscounted cash flows for each of the next five years and total of the remaining years to the operating lease liabilities recorded in the condensed consolidated balance sheet as of March 31, 2025 for all of the Company’s leases. </w:t>
      </w:r>
    </w:p>
    <w:tbl>
      <w:tblPr>
        <w:tblW w:w="5668" w:type="dxa"/>
        <w:jc w:val="left"/>
        <w:tblInd w:w="0" w:type="dxa"/>
        <w:tblLayout w:type="fixed"/>
        <w:tblCellMar>
          <w:top w:w="28" w:type="dxa"/>
          <w:left w:w="28" w:type="dxa"/>
          <w:bottom w:w="28" w:type="dxa"/>
          <w:right w:w="28" w:type="dxa"/>
        </w:tblCellMar>
      </w:tblPr>
      <w:tblGrid>
        <w:gridCol w:w="4186"/>
        <w:gridCol w:w="146"/>
        <w:gridCol w:w="239"/>
        <w:gridCol w:w="88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5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Operating 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Excluded from the table above are $165.5 million of undiscounted future operating lease payments for the Tech Square Lease that have not commenced as of March 31,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is classified in the condensed consolidated statements of operations and comprehensive loss as follows:</w:t>
      </w:r>
    </w:p>
    <w:tbl>
      <w:tblPr>
        <w:tblW w:w="5246" w:type="dxa"/>
        <w:jc w:val="left"/>
        <w:tblInd w:w="0" w:type="dxa"/>
        <w:tblLayout w:type="fixed"/>
        <w:tblCellMar>
          <w:top w:w="28" w:type="dxa"/>
          <w:left w:w="28" w:type="dxa"/>
          <w:bottom w:w="28" w:type="dxa"/>
          <w:right w:w="28" w:type="dxa"/>
        </w:tblCellMar>
      </w:tblPr>
      <w:tblGrid>
        <w:gridCol w:w="2311"/>
        <w:gridCol w:w="146"/>
        <w:gridCol w:w="245"/>
        <w:gridCol w:w="785"/>
        <w:gridCol w:w="169"/>
        <w:gridCol w:w="169"/>
        <w:gridCol w:w="245"/>
        <w:gridCol w:w="785"/>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21,840</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b/>
          <w:color w:val="000000"/>
          <w:sz w:val="20"/>
        </w:rPr>
      </w:pPr>
      <w:r>
        <w:rPr>
          <w:rFonts w:ascii="Times New Roman" w:hAnsi="Times New Roman"/>
          <w:b/>
          <w:color w:val="000000"/>
          <w:sz w:val="20"/>
        </w:rPr>
        <w:t>Stock Option and Incentive Plans</w:t>
      </w:r>
    </w:p>
    <w:p>
      <w:pPr>
        <w:pStyle w:val="TextBody"/>
        <w:bidi w:val="0"/>
        <w:spacing w:before="120" w:after="283"/>
        <w:jc w:val="both"/>
        <w:rPr>
          <w:rFonts w:ascii="Times New Roman" w:hAnsi="Times New Roman"/>
          <w:sz w:val="20"/>
        </w:rPr>
      </w:pPr>
      <w:r>
        <w:rPr>
          <w:rFonts w:ascii="Times New Roman" w:hAnsi="Times New Roman"/>
          <w:color w:val="000000"/>
          <w:sz w:val="20"/>
        </w:rPr>
        <w:t>In April 2016, the Company adopted the Amended and Restated 2015 Stock Option and Incentive Plan (the “2015 Plan”). The 2015 Plan provides for the grant of incentive stock options, non-qualified stock options, stock appreciation rights, restricted stock awards (“RSAs”), restricted stock units (“RSUs”) and other stock-based awards. Recipients of incentive stock options and non-qualified stock options are eligible to purchase shares of the Company’s common stock at an exercise price equal to the fair value of such stock on the grant date. As of March 31, 2025, there were 6,968,448 shares available for future issuance under the 2015 Plan. The number of shares reserved for issuance under the 2015 Plan are subject to cumulative increases on each January 1</w:t>
      </w:r>
      <w:r>
        <w:rPr>
          <w:rFonts w:ascii="Times New Roman" w:hAnsi="Times New Roman"/>
          <w:color w:val="000000"/>
          <w:sz w:val="13"/>
        </w:rPr>
        <w:t>st</w:t>
      </w:r>
      <w:r>
        <w:rPr>
          <w:rFonts w:ascii="Times New Roman" w:hAnsi="Times New Roman"/>
          <w:color w:val="000000"/>
          <w:sz w:val="20"/>
        </w:rPr>
        <w:t xml:space="preserve"> by four percent of the number of shares of stock issued and outstanding on the immediately preceding December 31</w:t>
      </w:r>
      <w:r>
        <w:rPr>
          <w:rFonts w:ascii="Times New Roman" w:hAnsi="Times New Roman"/>
          <w:color w:val="000000"/>
          <w:sz w:val="13"/>
        </w:rPr>
        <w:t>st</w:t>
      </w:r>
      <w:r>
        <w:rPr>
          <w:rFonts w:ascii="Times New Roman" w:hAnsi="Times New Roman"/>
          <w:color w:val="000000"/>
          <w:sz w:val="20"/>
        </w:rPr>
        <w:t xml:space="preserve"> or such lesser number of shares of stock as determined by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In June 2024, the Company adopted the 2024 Inducement Plan (the “Inducement Plan”). The Inducement Plan provides for the grant of non-qualified stock options, stock appreciation rights, RSAs, RSUs, unrestricted stock awards and dividend equivalent rights to individuals who are not employed by the Company. Recipients of non-qualified stock options are eligible to purchase shares of the Company’s common stock at an exercise price equal to the fair value of such stock on the grant date. In accordance with the Inducement Plan, 850,000 shares of common stock were reserved for future issuance; there were</w:t>
      </w:r>
      <w:r>
        <w:rPr>
          <w:rFonts w:ascii="Times New Roman" w:hAnsi="Times New Roman"/>
          <w:color w:val="FF0000"/>
          <w:sz w:val="20"/>
        </w:rPr>
        <w:t xml:space="preserve"> </w:t>
      </w:r>
      <w:r>
        <w:rPr>
          <w:rFonts w:ascii="Times New Roman" w:hAnsi="Times New Roman"/>
          <w:color w:val="000000"/>
          <w:sz w:val="20"/>
        </w:rPr>
        <w:t>312,674 shares available for future issuance under the Inducement Plan as of March 31, 2025.</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Company’s RSU activity for the three months ended March 31, 2025:</w:t>
      </w:r>
    </w:p>
    <w:tbl>
      <w:tblPr>
        <w:tblW w:w="7912" w:type="dxa"/>
        <w:jc w:val="left"/>
        <w:tblInd w:w="0" w:type="dxa"/>
        <w:tblLayout w:type="fixed"/>
        <w:tblCellMar>
          <w:top w:w="28" w:type="dxa"/>
          <w:left w:w="28" w:type="dxa"/>
          <w:bottom w:w="28" w:type="dxa"/>
          <w:right w:w="28" w:type="dxa"/>
        </w:tblCellMar>
      </w:tblPr>
      <w:tblGrid>
        <w:gridCol w:w="4651"/>
        <w:gridCol w:w="146"/>
        <w:gridCol w:w="146"/>
        <w:gridCol w:w="991"/>
        <w:gridCol w:w="166"/>
        <w:gridCol w:w="146"/>
        <w:gridCol w:w="343"/>
        <w:gridCol w:w="932"/>
        <w:gridCol w:w="3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Service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awards RSUs with a service condition to new employees upon hire, non-employee directors upon appointment, and to existing employees and non-employee directors as part of their annual grant. RSUs with a service condition granted to new and existing employees, and to non-employee directors upon appointment, under the 2015 Plan beginning in 2023 and the Inducement Plan since its inception, generally vest as to one-third on the first anniversary of the original vesting date, with the balance vesting annually over the remaining two years. RSUs granted to non-employee directors with a service condition as part of their annual grant generally vest on the first anniversary of the original vesting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three months ended March 31, 2025, the Company granted 2,016,607 RSUs with a service condition to new and existing employees and non-employee directors, which have the potential to vest over a period of approximately three years. The weighted average grant date fair value of these RSUs was $10.11.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Unvested restricted stock units as of March 31, 2025 in the table above includes 4,482,087 RSUs that are service-based.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Market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2022, market-based RSUs have been granted to senior executives. These RSUs have the potential to vest after a period of three years, with a vesting start date of January 1 in the year of grant, and the number of shares to be delivered will depend on the Company’s Total Shareholder Return (“TSR”), a market condition, over that period relative to a defined group of biotechnology companies. The number of market-based RSUs granted in the three months ended March 31, 2025 and 2024 was 223,600 and 235,858, respectively. The grant date fair value for the market-based RSUs, calculated using a Monte Carlo valuation model, was $15.76 and $51.12, respectively. The following assumptions were used to determine the grant date fair value for the three months ended March 31, 2025 and 2024, respectively: risk free interest rate: 3.99% and 4.28%; expected volatility: 67.6% and 77.2%. The expected term for all grants was approximately 3.0 years; the expected dividend yield was 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Unvested restricted stock units as of March 31, 2025 in the table above includes 616,618 RSUs that are market-based.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Performance-Based Awards with TSR Multiplier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2024, performance-based RSUs (“PSUs”) with a relative TSR modifier were also granted to senior executives. The number of PSUs with a relative TSR modifier granted in the year ended December 31, 2024 was 486,617. These PSUs, to the extent earned, shall vest on January 1, 2027, and the number of shares to be delivered will be determined based upon the achievement of certain performance goals, which can range from 0% to 200%. Following the determination of the achievement of performance criteria, the amount of shares awarded will be subject to adjustment based on the application of a TSR modifier, which can range from 75% to 125%. The grant date fair value for these PSUs, calculated using a Monte Carlo valuation model, was $36.16. The following assumptions were used to determine the grant date fair value: risk free interest rate: 4.28%; expected volatility: 77.2%; expected term: approximately 3.0 years; expected dividend yield: 0.0%. The Company recognizes compensation expense ratably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 the required service period based on its estimate of the number of shares that will vest based upon the probability of achieving the performance goals.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PSUs with a relative TSR modifier granted in the three months ended March 31, 2025. Unvested restricted stock units as of March 31, 2025 in the table above includes 404,560 PSUs with a TSR multiplier.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Restricted Stock Units - Performance-Based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2022, the Company granted 66,296 performance-based RSUs to certain non-executive employees that would vest upon obtaining certain scientific milestones. There were two separate tranches, each attached to a different set of milestones. The milestone related to the first tranche, made up of 21,878 RSUs, was achieved in the first quarter of 2023 and these RSUs vested. The remaining performance milestones were considered not probable of achievement as of March 31, 2025 and, therefore, no related stock-based compensation expense was recorded during the period then ending.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Unvested restricted stock units as of March 31, 2025 in the table above includes 22,209 performance-based 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all RSUs granted during the three months ended March 31, 2025 and 2024 was $10.67 and $34.52, respectively. The total fair value of RSUs vested (measured on the date of vesting) for the three months ended March 31, 2025 and 2024 was $17.5 million and $30.9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2025, there was $90.0 million of unrecognized stock-based compensation expense related to all RSUs that are expected to vest. These costs are expected to be recognized over a weighted average remaining vesting period of 1.69 years.</w:t>
      </w:r>
    </w:p>
    <w:p>
      <w:pPr>
        <w:pStyle w:val="TextBody"/>
        <w:bidi w:val="0"/>
        <w:spacing w:before="240" w:after="283"/>
        <w:jc w:val="both"/>
        <w:rPr>
          <w:rFonts w:ascii="Times New Roman" w:hAnsi="Times New Roman"/>
          <w:b/>
          <w:i/>
          <w:color w:val="000000"/>
          <w:sz w:val="20"/>
          <w:u w:val="single"/>
        </w:rPr>
      </w:pPr>
      <w:r>
        <w:rPr>
          <w:rFonts w:ascii="Times New Roman" w:hAnsi="Times New Roman"/>
          <w:b/>
          <w:i/>
          <w:color w:val="000000"/>
          <w:sz w:val="20"/>
          <w:u w:val="single"/>
        </w:rPr>
        <w:t>Stock Options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weighted average grant date fair value of options, estimated as of the grant date using the Black-Scholes option pricing model, was $6.92 and $22.61 per option for those options granted during the three months ended March 31, 2025 and 2024, respectively. Weighted average assumptions used to apply this pricing model were as follows:</w:t>
      </w:r>
    </w:p>
    <w:tbl>
      <w:tblPr>
        <w:tblW w:w="5921" w:type="dxa"/>
        <w:jc w:val="left"/>
        <w:tblInd w:w="0" w:type="dxa"/>
        <w:tblLayout w:type="fixed"/>
        <w:tblCellMar>
          <w:top w:w="28" w:type="dxa"/>
          <w:left w:w="28" w:type="dxa"/>
          <w:bottom w:w="28" w:type="dxa"/>
          <w:right w:w="28" w:type="dxa"/>
        </w:tblCellMar>
      </w:tblPr>
      <w:tblGrid>
        <w:gridCol w:w="3331"/>
        <w:gridCol w:w="146"/>
        <w:gridCol w:w="1096"/>
        <w:gridCol w:w="193"/>
        <w:gridCol w:w="1155"/>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76.4%</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is based on the U.S. Treasury yield curve in effect at the time of grant with maturities approximately equal to the option’s expected term.</w:t>
      </w:r>
    </w:p>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represents the period that stock option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The Company uses the simplified method because it does not have sufficient historical option exercise data to provide a reasonable basis upon which to estimate the expected term.</w:t>
      </w:r>
    </w:p>
    <w:p>
      <w:pPr>
        <w:pStyle w:val="TextBody"/>
        <w:bidi w:val="0"/>
        <w:spacing w:before="12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Expected volatility is estimated based on actual movements in the Company’s stock price over the most recent historical periods, over the expected term of their stock option grants.</w:t>
      </w:r>
    </w:p>
    <w:p>
      <w:pPr>
        <w:pStyle w:val="TextBody"/>
        <w:bidi w:val="0"/>
        <w:spacing w:before="12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has not paid cash dividends and has no intention to pay cash dividends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generally vest as to one-third on the first anniversary of the original vesting date, with the balance vesting monthly over the remaining two years, unless they contain specific vesting provisions. The maximum term of stock options granted under the 2015 Plan and the Inducement Plan is ten years.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is a summary of stock option activity for the three months ended March 31, 2025:</w:t>
      </w:r>
    </w:p>
    <w:tbl>
      <w:tblPr>
        <w:tblW w:w="8378" w:type="dxa"/>
        <w:jc w:val="left"/>
        <w:tblInd w:w="0" w:type="dxa"/>
        <w:tblLayout w:type="fixed"/>
        <w:tblCellMar>
          <w:top w:w="28" w:type="dxa"/>
          <w:left w:w="28" w:type="dxa"/>
          <w:bottom w:w="28" w:type="dxa"/>
          <w:right w:w="28" w:type="dxa"/>
        </w:tblCellMar>
      </w:tblPr>
      <w:tblGrid>
        <w:gridCol w:w="2941"/>
        <w:gridCol w:w="146"/>
        <w:gridCol w:w="146"/>
        <w:gridCol w:w="931"/>
        <w:gridCol w:w="166"/>
        <w:gridCol w:w="146"/>
        <w:gridCol w:w="214"/>
        <w:gridCol w:w="582"/>
        <w:gridCol w:w="146"/>
        <w:gridCol w:w="146"/>
        <w:gridCol w:w="236"/>
        <w:gridCol w:w="755"/>
        <w:gridCol w:w="146"/>
        <w:gridCol w:w="146"/>
        <w:gridCol w:w="379"/>
        <w:gridCol w:w="76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total intrinsic value (the amount by which the fair market value exceeded the exercise price) of stock options exercised during the three months ended March 31, 2024 was $1.2 million. There were no options exercised during the three months ended March 31, 2025.</w:t>
      </w:r>
    </w:p>
    <w:p>
      <w:pPr>
        <w:pStyle w:val="TextBody"/>
        <w:bidi w:val="0"/>
        <w:spacing w:before="240" w:after="283"/>
        <w:jc w:val="both"/>
        <w:rPr>
          <w:rFonts w:ascii="Times New Roman" w:hAnsi="Times New Roman"/>
          <w:sz w:val="20"/>
        </w:rPr>
      </w:pPr>
      <w:r>
        <w:rPr>
          <w:rFonts w:ascii="Times New Roman" w:hAnsi="Times New Roman"/>
          <w:color w:val="000000"/>
          <w:sz w:val="20"/>
        </w:rPr>
        <w:t>As of March 31, 2025, there was $16.6 million of unrecognized compensation cost related to stock options that have not yet vested, which are expected to be recognized over a weighted average remaining vesting period of 1.23</w:t>
      </w:r>
      <w:r>
        <w:rPr>
          <w:rFonts w:ascii="Times New Roman" w:hAnsi="Times New Roman"/>
          <w:color w:val="FF0000"/>
          <w:sz w:val="20"/>
        </w:rPr>
        <w:t xml:space="preserve"> </w:t>
      </w:r>
      <w:r>
        <w:rPr>
          <w:rFonts w:ascii="Times New Roman" w:hAnsi="Times New Roman"/>
          <w:color w:val="000000"/>
          <w:sz w:val="20"/>
        </w:rPr>
        <w:t>years.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2016, the Company adopted the 2016 Employee Stock Purchase Plan (the “2016 Plan”). The 2016 Plan allows eligible employees to purchase shares of the Company’s common stock on the last day of each predetermined six-month offering period at 85% of the lower of the fair market value per share at the beginning or end of the applicable offering period. The 2016 Plan provides for six-month offering periods beginning in January and July of each year.</w:t>
      </w:r>
    </w:p>
    <w:p>
      <w:pPr>
        <w:pStyle w:val="TextBody"/>
        <w:bidi w:val="0"/>
        <w:spacing w:before="240" w:after="283"/>
        <w:jc w:val="both"/>
        <w:rPr>
          <w:rFonts w:ascii="Times New Roman" w:hAnsi="Times New Roman"/>
          <w:sz w:val="20"/>
        </w:rPr>
      </w:pPr>
      <w:r>
        <w:rPr>
          <w:rFonts w:ascii="Times New Roman" w:hAnsi="Times New Roman"/>
          <w:color w:val="000000"/>
          <w:sz w:val="20"/>
        </w:rPr>
        <w:t>As of March 31, 2025, there were 1,356,897 shares available for future issuance under the 2016 Plan. The number of shares reserved for issuance under the 2016 Plan are subject to cumulative increases on each January 1</w:t>
      </w:r>
      <w:r>
        <w:rPr>
          <w:rFonts w:ascii="Times New Roman" w:hAnsi="Times New Roman"/>
          <w:color w:val="000000"/>
          <w:sz w:val="13"/>
        </w:rPr>
        <w:t>st</w:t>
      </w:r>
      <w:r>
        <w:rPr>
          <w:rFonts w:ascii="Times New Roman" w:hAnsi="Times New Roman"/>
          <w:color w:val="000000"/>
          <w:sz w:val="20"/>
        </w:rPr>
        <w:t xml:space="preserve"> by the lesser of a) one percent of the number of shares of common stock issued and outstanding on the immediately preceding December 31</w:t>
      </w:r>
      <w:r>
        <w:rPr>
          <w:rFonts w:ascii="Times New Roman" w:hAnsi="Times New Roman"/>
          <w:color w:val="000000"/>
          <w:sz w:val="13"/>
        </w:rPr>
        <w:t>st</w:t>
      </w:r>
      <w:r>
        <w:rPr>
          <w:rFonts w:ascii="Times New Roman" w:hAnsi="Times New Roman"/>
          <w:color w:val="000000"/>
          <w:sz w:val="20"/>
        </w:rPr>
        <w:t>, b) 500,000 shares of common stock, or c) such lesser number of shares of common stock as determined by the board of directors. During the three months ended March 31, 2025 and 2024 the Company did not issue any shares of common stock under the 2016 Plan.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shares under the 2016 Plan was estimated at the beginning of the offering period using a Black-Scholes option-pricing model with the following assumptions:</w:t>
      </w:r>
    </w:p>
    <w:tbl>
      <w:tblPr>
        <w:tblW w:w="5921" w:type="dxa"/>
        <w:jc w:val="left"/>
        <w:tblInd w:w="0" w:type="dxa"/>
        <w:tblLayout w:type="fixed"/>
        <w:tblCellMar>
          <w:top w:w="28" w:type="dxa"/>
          <w:left w:w="28" w:type="dxa"/>
          <w:bottom w:w="28" w:type="dxa"/>
          <w:right w:w="28" w:type="dxa"/>
        </w:tblCellMar>
      </w:tblPr>
      <w:tblGrid>
        <w:gridCol w:w="3331"/>
        <w:gridCol w:w="146"/>
        <w:gridCol w:w="1096"/>
        <w:gridCol w:w="193"/>
        <w:gridCol w:w="1155"/>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5.24%</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 years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 years</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of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56.7%</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calculates basic loss per share by dividing net loss for each respective period by the weighted average number of common shares outstanding for each respective period. The Company computes diluted loss per share after giving consideration to the dilutive effect of stock options and unvested restricted stock units that are outstanding during the period, except where such securities would be anti-dilutive.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Basic and diluted loss per share was calculated as follows:</w:t>
      </w:r>
    </w:p>
    <w:tbl>
      <w:tblPr>
        <w:tblW w:w="7409" w:type="dxa"/>
        <w:jc w:val="left"/>
        <w:tblInd w:w="0" w:type="dxa"/>
        <w:tblLayout w:type="fixed"/>
        <w:tblCellMar>
          <w:top w:w="28" w:type="dxa"/>
          <w:left w:w="28" w:type="dxa"/>
          <w:bottom w:w="28" w:type="dxa"/>
          <w:right w:w="28" w:type="dxa"/>
        </w:tblCellMar>
      </w:tblPr>
      <w:tblGrid>
        <w:gridCol w:w="4636"/>
        <w:gridCol w:w="146"/>
        <w:gridCol w:w="211"/>
        <w:gridCol w:w="841"/>
        <w:gridCol w:w="166"/>
        <w:gridCol w:w="146"/>
        <w:gridCol w:w="211"/>
        <w:gridCol w:w="841"/>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common stock equivalents were excluded from the calculation of diluted loss per share because their inclusion would have been anti-dilutive:</w:t>
      </w:r>
    </w:p>
    <w:tbl>
      <w:tblPr>
        <w:tblW w:w="5348" w:type="dxa"/>
        <w:jc w:val="left"/>
        <w:tblInd w:w="0" w:type="dxa"/>
        <w:tblLayout w:type="fixed"/>
        <w:tblCellMar>
          <w:top w:w="28" w:type="dxa"/>
          <w:left w:w="28" w:type="dxa"/>
          <w:bottom w:w="28" w:type="dxa"/>
          <w:right w:w="28" w:type="dxa"/>
        </w:tblCellMar>
      </w:tblPr>
      <w:tblGrid>
        <w:gridCol w:w="2611"/>
        <w:gridCol w:w="146"/>
        <w:gridCol w:w="181"/>
        <w:gridCol w:w="838"/>
        <w:gridCol w:w="181"/>
        <w:gridCol w:w="181"/>
        <w:gridCol w:w="181"/>
        <w:gridCol w:w="83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2022, the Company entered into an Open Market Sale Agreement (the “2022 Sale Agreement”) with Jefferies LLC (“Jefferies”), under which Jefferies was able to offer and sell, from time to time in “at-the-market” offerings, shares of the Company’s common stock having aggregate gross proceeds of up to $400.0 million. In February 2024, the Company entered into an amendment to the 2022 Sale Agreement (the “2022 Sale Agreement, as amended”) to increase the size of the at-the-market offering program from $400.0 million to $750.0 million. The Company agreed to pay cash commissions of up to 3.0% of the gross proceeds of sales of common stock under the 2022 Sale Agreement, as amended. Through March 31, 2025, the Company issued 14,522,533 shares of its common stock under the 2022 Sale Agreement, as amended. The Company did not issue any shares of its common stock under the 2022 Sale Agreement, as amended, during the three months ended March 31, 2025. As of March 31, 2025, $249.1 million in shares of common stock remain eligible for sale under the 2022 Sale Agreement, as amended.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identified one operating and reportable segment: the development of gene editing-based therapies. All of the Company’s material assets are held in the U.S. and all of the Company’s collaboration revenue has been generated in the U.S. The operating segment’s revenue is primarily generated through collaboration arrangements with third parties. The Company does not have any intra-entity sales or transfers. The Company manages all business activities on a consolidated basis. The Company’s chief operating decision maker (“CODM”) is the chief executive officer.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policies for the segment are the same as those described in Note 2, “Summary of Significant Accounting Policies,” in the Company’s Annual Report on Form 10-K (“Annual Report”) for the year ended December 31, 2024. The CODM evaluates the performance of the operating segment and allocates resources based on net loss that also is reported on the consolidated statements of operations and comprehensive loss. The CODM uses net loss to monitor budget versus actual results and to analyze cash flows in assessing performance of the segment and allocating resources. The measure of the operating segment assets is reported on the consolidated balance sheets as total assets.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the reportable segment’s financial information:</w:t>
      </w:r>
    </w:p>
    <w:tbl>
      <w:tblPr>
        <w:tblW w:w="6794" w:type="dxa"/>
        <w:jc w:val="left"/>
        <w:tblInd w:w="0" w:type="dxa"/>
        <w:tblLayout w:type="fixed"/>
        <w:tblCellMar>
          <w:top w:w="28" w:type="dxa"/>
          <w:left w:w="28" w:type="dxa"/>
          <w:bottom w:w="28" w:type="dxa"/>
          <w:right w:w="28" w:type="dxa"/>
        </w:tblCellMar>
      </w:tblPr>
      <w:tblGrid>
        <w:gridCol w:w="4021"/>
        <w:gridCol w:w="146"/>
        <w:gridCol w:w="211"/>
        <w:gridCol w:w="841"/>
        <w:gridCol w:w="166"/>
        <w:gridCol w:w="146"/>
        <w:gridCol w:w="211"/>
        <w:gridCol w:w="841"/>
        <w:gridCol w:w="2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development expenses - nex-z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External development expenses - NTLA-2002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research and development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information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and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Includes unallocated research and development expenses including stock-based compensation of $12.6 million and $20.1 million for the three months ended March 31, 2025 and 2024, respectively, as disclosed within Note 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stock-based compensation of $9.2 million and $14.0 million for the three months ended March 31, 2025 and 2024, respectively, as disclosed within Note 10,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Includes change in fair value of investments as disclosed on the Company’s condensed consolidated statements of operations and 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and amortization expense totaled $2.5 million for the three months ended March 31, 2025 and 2024.</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9" w:name="item_2_management_discussion_and_analysi"/>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Forward-looking Information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nexiguran ziclumeran (“nex-z,” also referred to as NTLA-2001), our program for the treatment of transthyretin (“ATTR”) amyloidosis, including the ability to successfully complete our global Phase 3 study for ATTR amyloidosis with cardiomyopathy (“ATTR-CM”), the ability to complete our global Phase 3 study for hereditary ATTR amyloidosis with polyneuropathy (“ATTRv-PN”), the ability to file a biologics license application (“BLA”) or comparable marketing application within a certain time period,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our clinical study strategy for NTLA-2002, our program for the treatment of hereditary angioedema (“HAE”), including the ability to successfully complete our global Phase 3 study, generate results supporting the potential of NTLA-2002 to achieve lifelong control of HAE attacks after a single dose, the ability to file a BLA or comparable marketing application within a certain time period, or the success of such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or obtain materials for our preclinical and clinical studies,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any product candidates into, and successfully complete, clinical studies, including clinical studies necessary for regulatory approval and commercialization, and to demonstrate to applicable regulators that the product candidates are safe and effective and that their benefits outweigh known and potential risks for the intended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advance our genome editing and therapeutic delivery capabilities, including our therapeutic delivery capabilities for tissues other than the liver;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develop, establish and maintain for intellectual property rights, including patents, trade secrets and license rights, covering our product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operate, including commercializing products, without infringing or breaching the proprietary or contractual rights of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or enforcement of, and compliance with, regulatory requirements and guidance regarding preclinical and clinical studies relevant to genome editing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acceptance, pricing and reimbursement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estimates of our expenses, future revenues, capital requirements and our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benefits of strategic agreements, such as collaborations, co-development and co-commercialization, acquisitions, dispositions, mergers, joint ventures, and investment agreements, and our ability to establish and maintain strategic arrangements under favorable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acquire and maintain relevant intellectual property licenses and rights, and the scope and terms of such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a modular platform capability or other strategies to efficiently discover and develop product candidates, including by applying learnings from one program to other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research, develop or maintain a pipeline of product candidates;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our licensors, licensees, third parties and ventures from which we derive or license rights, as well as collaborators, competitors and our industry;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All of our express or implied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pStyle w:val="TextBody"/>
        <w:bidi w:val="0"/>
        <w:spacing w:before="240" w:after="283"/>
        <w:jc w:val="both"/>
        <w:rPr>
          <w:rFonts w:ascii="Times New Roman" w:hAnsi="Times New Roman"/>
          <w:sz w:val="20"/>
        </w:rPr>
      </w:pPr>
      <w:r>
        <w:rPr>
          <w:rFonts w:ascii="Times New Roman" w:hAnsi="Times New Roman"/>
          <w:b/>
          <w:i/>
          <w:color w:val="000000"/>
          <w:sz w:val="20"/>
        </w:rPr>
        <w:t>Management Overview</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Intellia Therapeutics, Inc. (“we,” “us,” “our,” “Intellia,” or the “Company”) is a leading clinical-stage gene editing company, focused on revolutionizing medicine with CRISPR-based therapies. CRISPR is a gene editing technology which is also sometimes referred to as CRISPR/Cas or CRISPR/Cas9 when referring to the use of CRISPR technology with the Cas9 enzyme. Since our inception, Intellia has focused on leveraging gene editing technology to develop novel, first-in-class medicines that address important unmet medical needs and advance the treatment paradigm for patients.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To fully realize the transformative potential of CRISPR-based technologies, we are building a full-spectrum gene editing company, by leveraging our modular platform, to advance </w:t>
      </w:r>
      <w:r>
        <w:rPr>
          <w:rFonts w:ascii="Times New Roman" w:hAnsi="Times New Roman"/>
          <w:i/>
          <w:color w:val="000000"/>
          <w:sz w:val="20"/>
        </w:rPr>
        <w:t xml:space="preserve">in vivo </w:t>
      </w:r>
      <w:r>
        <w:rPr>
          <w:rFonts w:ascii="Times New Roman" w:hAnsi="Times New Roman"/>
          <w:color w:val="000000"/>
          <w:sz w:val="20"/>
        </w:rPr>
        <w:t xml:space="preserve">and </w:t>
      </w:r>
      <w:r>
        <w:rPr>
          <w:rFonts w:ascii="Times New Roman" w:hAnsi="Times New Roman"/>
          <w:i/>
          <w:color w:val="000000"/>
          <w:sz w:val="20"/>
        </w:rPr>
        <w:t>ex vivo</w:t>
      </w:r>
      <w:r>
        <w:rPr>
          <w:rFonts w:ascii="Times New Roman" w:hAnsi="Times New Roman"/>
          <w:color w:val="000000"/>
          <w:sz w:val="20"/>
        </w:rPr>
        <w:t xml:space="preserve"> therapies for diseases with high unmet need by pursuing two primary approaches. For </w:t>
      </w:r>
      <w:r>
        <w:rPr>
          <w:rFonts w:ascii="Times New Roman" w:hAnsi="Times New Roman"/>
          <w:i/>
          <w:color w:val="000000"/>
          <w:sz w:val="20"/>
        </w:rPr>
        <w:t>in vivo</w:t>
      </w:r>
      <w:r>
        <w:rPr>
          <w:rFonts w:ascii="Times New Roman" w:hAnsi="Times New Roman"/>
          <w:color w:val="000000"/>
          <w:sz w:val="20"/>
        </w:rPr>
        <w:t xml:space="preserve"> applications to address genetic diseases, we deploy CRISPR as the therapy. Our </w:t>
      </w:r>
      <w:r>
        <w:rPr>
          <w:rFonts w:ascii="Times New Roman" w:hAnsi="Times New Roman"/>
          <w:i/>
          <w:color w:val="000000"/>
          <w:sz w:val="20"/>
        </w:rPr>
        <w:t>in vivo</w:t>
      </w:r>
      <w:r>
        <w:rPr>
          <w:rFonts w:ascii="Times New Roman" w:hAnsi="Times New Roman"/>
          <w:color w:val="000000"/>
          <w:sz w:val="20"/>
        </w:rPr>
        <w:t xml:space="preserve"> programs use CRISPR to enable precise editing of disease-causing genes directly inside the human body. In addition, we are advancing </w:t>
      </w:r>
      <w:r>
        <w:rPr>
          <w:rFonts w:ascii="Times New Roman" w:hAnsi="Times New Roman"/>
          <w:i/>
          <w:color w:val="000000"/>
          <w:sz w:val="20"/>
        </w:rPr>
        <w:t>ex vivo</w:t>
      </w:r>
      <w:r>
        <w:rPr>
          <w:rFonts w:ascii="Times New Roman" w:hAnsi="Times New Roman"/>
          <w:color w:val="000000"/>
          <w:sz w:val="20"/>
        </w:rPr>
        <w:t xml:space="preserve"> applications to address immuno-oncology and autoimmune diseases, where CRISPR is used as the tool to create the engineered cell therapy. For our </w:t>
      </w:r>
      <w:r>
        <w:rPr>
          <w:rFonts w:ascii="Times New Roman" w:hAnsi="Times New Roman"/>
          <w:i/>
          <w:color w:val="000000"/>
          <w:sz w:val="20"/>
        </w:rPr>
        <w:t>ex vivo</w:t>
      </w:r>
      <w:r>
        <w:rPr>
          <w:rFonts w:ascii="Times New Roman" w:hAnsi="Times New Roman"/>
          <w:color w:val="000000"/>
          <w:sz w:val="20"/>
        </w:rPr>
        <w:t xml:space="preserve"> programs, CRISPR is used to engineer human cells outside the body. Intellia’s deep scientific, technical and clinical development experience, along with our robust intellectual property (“IP”) portfolio, have enabled us to unlock broad therapeutic applications of CRISPR and related technologies to create new classes of genetic medicine.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upon our unaudited condensed consolidated financial statements included in this Quarterly Report on Form 10-Q, which have been prepared by us in accordance with accounting principles generally accepted in the United States of America (“U.S. GAAP”) for interim periods and with Regulation S-X, promulgated under the Securities Exchange Act of 1934, as amended. This discussion and analysis should be read in conjunction with the unaudited condensed consolidated financial statements and the notes thereto included elsewhere in this Quarterly Report on Form 10-Q as well as in conjunction with the audited financial statements and notes thereto included in our Annual Report on Form 10-K (“Annual Report”) for the year ended December 31, 2024.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over a decade, we have been applying novel technologies, such as CRISPR-based gene editing technologies and lipid nanoparticle (“LNP”) delivery technologies, to develop </w:t>
      </w:r>
      <w:r>
        <w:rPr>
          <w:rFonts w:ascii="Times New Roman" w:hAnsi="Times New Roman"/>
          <w:i/>
          <w:color w:val="000000"/>
          <w:sz w:val="20"/>
        </w:rPr>
        <w:t xml:space="preserve">in vivo </w:t>
      </w:r>
      <w:r>
        <w:rPr>
          <w:rFonts w:ascii="Times New Roman" w:hAnsi="Times New Roman"/>
          <w:color w:val="000000"/>
          <w:sz w:val="20"/>
        </w:rPr>
        <w:t xml:space="preserve">and </w:t>
      </w:r>
      <w:r>
        <w:rPr>
          <w:rFonts w:ascii="Times New Roman" w:hAnsi="Times New Roman"/>
          <w:i/>
          <w:color w:val="000000"/>
          <w:sz w:val="20"/>
        </w:rPr>
        <w:t xml:space="preserve">ex vivo </w:t>
      </w:r>
      <w:r>
        <w:rPr>
          <w:rFonts w:ascii="Times New Roman" w:hAnsi="Times New Roman"/>
          <w:color w:val="000000"/>
          <w:sz w:val="20"/>
        </w:rPr>
        <w:t xml:space="preserve">product candidates. Our </w:t>
      </w:r>
      <w:r>
        <w:rPr>
          <w:rFonts w:ascii="Times New Roman" w:hAnsi="Times New Roman"/>
          <w:i/>
          <w:color w:val="000000"/>
          <w:sz w:val="20"/>
        </w:rPr>
        <w:t xml:space="preserve">in vivo </w:t>
      </w:r>
      <w:r>
        <w:rPr>
          <w:rFonts w:ascii="Times New Roman" w:hAnsi="Times New Roman"/>
          <w:color w:val="000000"/>
          <w:sz w:val="20"/>
        </w:rPr>
        <w:t xml:space="preserve">product candidates address genetic diseases by deploying our technologies, including CRISPR/Cas9 delivered by LNPs, as the therapy for diseases with high unmet need. For our </w:t>
      </w:r>
      <w:r>
        <w:rPr>
          <w:rFonts w:ascii="Times New Roman" w:hAnsi="Times New Roman"/>
          <w:i/>
          <w:color w:val="000000"/>
          <w:sz w:val="20"/>
        </w:rPr>
        <w:t>ex vivo</w:t>
      </w:r>
      <w:r>
        <w:rPr>
          <w:rFonts w:ascii="Times New Roman" w:hAnsi="Times New Roman"/>
          <w:color w:val="000000"/>
          <w:sz w:val="20"/>
        </w:rPr>
        <w:t xml:space="preserve"> product candidates, we apply our technologies to create engineered cell therapies to address immuno-oncology and autoimmune diseases. Our deep scientific, technical and clinical development experience have enabled us to develop first-in-class therapeutic applications of CRISPR/Cas9 and our other technologies, opening a new frontier in genetic medicine.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Treating—and potentially curing—a broad range of severe diseases requires the application of multiple technologies. With our proprietary technologies at the core of our platform, we continue to research and develop new gene editing and delivery technologies to expand our therapeutic opportunities, furthering progress on the frontier of genetic medicine and generating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development candidates. We continue to advance our platform’s modular solutions and research efforts on genome editing technologies as well as delivery and cell engineering capabilities to generate additional development candidates. Our mission is to transform the lives of people with severe diseases by developing potentially curative genome editing treatments.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strategy is to develop and commercialize our product candidates and further our gene editing technology to develop new product candidates, expanding the application of gene editing medicine. All of our revenue to date has been collaboration revenue. Since our inception and through March 31, 2025, we have funded our operations through our initial public offering (“IPO”) and concurrent private placements, follow-on public offerings, at-the-market offerings and the sale of convertible preferred stock, as well as through our collaboration agreements.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Pipeline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lead </w:t>
      </w:r>
      <w:r>
        <w:rPr>
          <w:rFonts w:ascii="Times New Roman" w:hAnsi="Times New Roman"/>
          <w:i/>
          <w:color w:val="000000"/>
          <w:sz w:val="20"/>
        </w:rPr>
        <w:t xml:space="preserve">in vivo </w:t>
      </w:r>
      <w:r>
        <w:rPr>
          <w:rFonts w:ascii="Times New Roman" w:hAnsi="Times New Roman"/>
          <w:color w:val="000000"/>
          <w:sz w:val="20"/>
        </w:rPr>
        <w:t xml:space="preserve">programs are the only Phase 3 genome editing product candidates designed to address unmet need in patients with ATTR amyloidosis and HAE. Our </w:t>
      </w:r>
      <w:r>
        <w:rPr>
          <w:rFonts w:ascii="Times New Roman" w:hAnsi="Times New Roman"/>
          <w:i/>
          <w:color w:val="000000"/>
          <w:sz w:val="20"/>
        </w:rPr>
        <w:t>in vivo</w:t>
      </w:r>
      <w:r>
        <w:rPr>
          <w:rFonts w:ascii="Times New Roman" w:hAnsi="Times New Roman"/>
          <w:color w:val="000000"/>
          <w:sz w:val="20"/>
        </w:rPr>
        <w:t xml:space="preserve"> research efforts focus on pursuing additional targets within the liver and expanding delivery technology to enable product candidates for diseases outside the liver.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lead </w:t>
      </w:r>
      <w:r>
        <w:rPr>
          <w:rFonts w:ascii="Times New Roman" w:hAnsi="Times New Roman"/>
          <w:i/>
          <w:color w:val="000000"/>
          <w:sz w:val="20"/>
        </w:rPr>
        <w:t xml:space="preserve">in vivo </w:t>
      </w:r>
      <w:r>
        <w:rPr>
          <w:rFonts w:ascii="Times New Roman" w:hAnsi="Times New Roman"/>
          <w:color w:val="000000"/>
          <w:sz w:val="20"/>
        </w:rPr>
        <w:t>product candidates, nex-z for the treatment of ATTR amyloidosis and NTLA-2002 for the treatment of HAE, are the first CRISPR-based therapy candidates to be administered systemically, via intravenous (“IV”) infusion, for precision editing of a gene in a target tissue in humans.</w:t>
      </w:r>
      <w:r>
        <w:rPr>
          <w:rFonts w:ascii="Times New Roman" w:hAnsi="Times New Roman"/>
          <w:color w:val="FF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we are advancing </w:t>
      </w:r>
      <w:r>
        <w:rPr>
          <w:rFonts w:ascii="Times New Roman" w:hAnsi="Times New Roman"/>
          <w:i/>
          <w:color w:val="000000"/>
          <w:sz w:val="20"/>
        </w:rPr>
        <w:t xml:space="preserve">ex vivo </w:t>
      </w:r>
      <w:r>
        <w:rPr>
          <w:rFonts w:ascii="Times New Roman" w:hAnsi="Times New Roman"/>
          <w:color w:val="000000"/>
          <w:sz w:val="20"/>
        </w:rPr>
        <w:t xml:space="preserve">programs, wholly owned and in collaboration with partners, to develop product candidates for the treatment of immuno-oncology and autoimmune diseases, and multiple </w:t>
      </w:r>
      <w:r>
        <w:rPr>
          <w:rFonts w:ascii="Times New Roman" w:hAnsi="Times New Roman"/>
          <w:i/>
          <w:color w:val="000000"/>
          <w:sz w:val="20"/>
        </w:rPr>
        <w:t xml:space="preserve">in vivo </w:t>
      </w:r>
      <w:r>
        <w:rPr>
          <w:rFonts w:ascii="Times New Roman" w:hAnsi="Times New Roman"/>
          <w:color w:val="000000"/>
          <w:sz w:val="20"/>
        </w:rPr>
        <w:t>programs, also wholly owned and in collaboration with partners, to address diseases with significant unmet medical need by delivering gene editing therapeutics to organs outside the liver.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Hereditary Angioedema (“HAE”) Program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NTLA-2002 is a wholly owned, investigational </w:t>
      </w:r>
      <w:r>
        <w:rPr>
          <w:rFonts w:ascii="Times New Roman" w:hAnsi="Times New Roman"/>
          <w:i/>
          <w:color w:val="000000"/>
          <w:sz w:val="20"/>
        </w:rPr>
        <w:t>in vivo</w:t>
      </w:r>
      <w:r>
        <w:rPr>
          <w:rFonts w:ascii="Times New Roman" w:hAnsi="Times New Roman"/>
          <w:color w:val="000000"/>
          <w:sz w:val="20"/>
        </w:rPr>
        <w:t xml:space="preserve"> CRISPR-based therapy designed to knock out the </w:t>
      </w:r>
      <w:r>
        <w:rPr>
          <w:rFonts w:ascii="Times New Roman" w:hAnsi="Times New Roman"/>
          <w:i/>
          <w:color w:val="000000"/>
          <w:sz w:val="20"/>
        </w:rPr>
        <w:t xml:space="preserve">kallikrein B1 (“KLKB1”) </w:t>
      </w:r>
      <w:r>
        <w:rPr>
          <w:rFonts w:ascii="Times New Roman" w:hAnsi="Times New Roman"/>
          <w:color w:val="000000"/>
          <w:sz w:val="20"/>
        </w:rPr>
        <w:t>gene in the liver, with the goal of achieving lifelong control of HAE attacks after a single dose. It also aims to eliminate the significant treatment burden associated with currently available HAE therapies.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NTLA-2002 Clinical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we announced the initiation of the Phase 3 HAELO study of NTLA-2002. HAELO is a global, randomized, double-blind, placebo-controlled study to evaluate the efficacy and safety of NTLA-2002 in 60 adults with Type I or Type II HAE. Patients will be randomized 2:1 to receive a single 50 mg infusion of NTLA-2002 or placebo. Patients randomized to the placebo arm will be eligible for optional crossover to NTLA-2002 at week 28. The primary endpoint is the number of HAE attacks from week 5 through week 28. In January 2025, we announced that the first patient had been dosed in the global Phase 3 study. We expect to complete enrollment in the third quarter of 2025 and remain on track to submit a biologics license application (“BLA”) in the second half of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present new data from the ongoing Phase 1/2 study in an oral presentation at the European Academy of Allergy and Clinical Immunology (“EAACI”) Congress 2025 on Sunday, June 15 in Glasgow, United Kingdom. The presentation will include longer-term durability data for patients in the Phase 1 part of the Phase 1/2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expect to present longer-term data from the ongoing Phase 1/2 study in 2025, which will include patients in the Phase 2 portion who initially received a 25 mg dose or placebo and were subsequently given the 50 mg dose of NTLA-2002 selected for the Phase 3 study.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Transthyretin (“ATTR”) Amyloidosis Program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Nex-z is an investigational CRISPR-based therapy designed to inactivate the </w:t>
      </w:r>
      <w:r>
        <w:rPr>
          <w:rFonts w:ascii="Times New Roman" w:hAnsi="Times New Roman"/>
          <w:i/>
          <w:color w:val="000000"/>
          <w:sz w:val="20"/>
        </w:rPr>
        <w:t>TTR</w:t>
      </w:r>
      <w:r>
        <w:rPr>
          <w:rFonts w:ascii="Times New Roman" w:hAnsi="Times New Roman"/>
          <w:color w:val="000000"/>
          <w:sz w:val="20"/>
        </w:rPr>
        <w:t xml:space="preserve"> gene in liver cells, thereby preventing the production of TTR protein for the treatment of ATTR amyloidosis. Delivered with our </w:t>
      </w:r>
      <w:r>
        <w:rPr>
          <w:rFonts w:ascii="Times New Roman" w:hAnsi="Times New Roman"/>
          <w:i/>
          <w:color w:val="000000"/>
          <w:sz w:val="20"/>
        </w:rPr>
        <w:t>in vivo</w:t>
      </w:r>
      <w:r>
        <w:rPr>
          <w:rFonts w:ascii="Times New Roman" w:hAnsi="Times New Roman"/>
          <w:color w:val="000000"/>
          <w:sz w:val="20"/>
        </w:rPr>
        <w:t xml:space="preserve"> LNP technology, nex-z offers the possibility of halting and reversing the disease by driving a deep, consistent and potentially lifelong reduction in TTR protein after a single dose.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Nex-z Clinical Program</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ATTR Amyloidosis with Cardiomyopathy (“ATTR-CM”):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2024, we initiated the pivotal Phase 3 MAGNITUDE trial. The MAGNITUDE trial is a randomized, double-blind, placebo-controlled study to evaluate the efficacy and safety of nex-z in adults with ATTR-CM. The primary endpoint of the study is a composite of cardiovascular (“CV”)-related mortality and events. Patients will be randomized 2:1 nex-z:placebo, with a single 55 mg infusion of nex-z administered. The MAGNITUDE trial is currently enrolling and we anticipate enrollment to exceed 550 total patients by the end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2025, we announced that the U.S. Food and Drug Administration (“FDA”) granted Regenerative Medicine Advanced Therapy (“RMAT”) designation to nex-z for the treatment of ATTR-CM. </w:t>
      </w:r>
    </w:p>
    <w:p>
      <w:pPr>
        <w:pStyle w:val="TextBody"/>
        <w:bidi w:val="0"/>
        <w:spacing w:before="240" w:after="283"/>
        <w:jc w:val="both"/>
        <w:rPr>
          <w:rFonts w:ascii="Times New Roman" w:hAnsi="Times New Roman"/>
          <w:sz w:val="20"/>
        </w:rPr>
      </w:pPr>
      <w:r>
        <w:rPr>
          <w:rFonts w:ascii="Times New Roman" w:hAnsi="Times New Roman"/>
          <w:i/>
          <w:color w:val="000000"/>
          <w:sz w:val="20"/>
        </w:rPr>
        <w:t>Hereditary ATTR Amyloidosis with Polyneuropathy (“ATTRv-PN”):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2024, we announced that the FDA had cleared our nex-z Investigational New Drug (“IND”) application to initiate the MAGNITUDE-2 pivotal Phase 3 trial for ATTRv-PN. MAGNITUDE-2 is an international, randomized, double-blind, placebo-controlled study to evaluate the efficacy and safety of nex-z in 50 adults with ATTRv-PN. Patients will be randomized 1:1 to receive a single 55 mg infusion of nex-z or placebo. Patients randomized to the placebo arm will be eligible for optional crossover to receive nex-z following month 18. The primary endpoints are the change from baseline in modified Neuropathy Impairment Score +7 (mNIS+7) at month 18 and serum TTR at day 29. The mNIS+7 scale is a validated measure specifically designed to assess and quantify polyneuropathy impairment, including muscle weakness, muscle stretch reflexes, sensory loss and autonomic impairment. In April 2025, we announced that the first patient was randomized and dosed with nex-z in the global Phase 3 MAGNITUDE-2 study. We expect enrollment to be completed in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present longer-term data from both ATTR-CM and ATTRv-PN patients in the Phase 1 study in the second half of 2025, which will include updated measures of clinical efficacy and safety.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Nex-z is the subject of a co-development and co-promotion (“Co/Co”) agreement (the “ATTR Co/Co”) with Regeneron Pharmaceuticals, Inc. (“Regeneron”), for which we are the clinical and commercial lead party and Regeneron is the participating party. Regeneron shares in approximately 25% of worldwide development costs and commercial profits for the ATTR program and has an option to enter into a co-promotion agreement for the U.S. commercialization.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Collaborations and Other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accelerate the development and commercialization of CRISPR/Cas9-based products in multiple therapeutic areas, we have formed, and intend to seek other opportunities to form, strategic alliances with collaborators who can augment our leadership in CRISPR/Cas9 therapeutic development. We have existing collaboration agreements with Regeneron, AvenCell Therapeutics, Inc. (“AvenCell”), SparingVision SAS (“SparingVision”), Kyverna Therapeutics, Inc. (“Kyverna”), ONK Therapeutics, Ltd. (“ONK”) and ReCode Therapeutics, Inc. (“ReCode”). See Note 7, “Collaborations and Other Arrangements” of our condensed consolidated financial statements appearing elsewhere in this Quarterly Report on Form 10-Q for additional information related to the terms of the agreements between us and our collaborators.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Overview</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consists of collaboration revenue, including amounts recognized related to upfront technology access payments for licenses, technology access fees, research materials shipped, research funding and milestone payments earned under our license and collaboration agreements.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expenses incurred in performing research and development activities, such as compensation and benefits, which includes stock-based compensation, for full-time research and development employees, allocated facility-related expenses, overhead expenses, license and milestone fees, contract research, development and manufacturing services, clinical trial costs and other related costs.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and benefits, including stock-based compensation, for our executive, finance, legal, human resources, business development and support functions. Also included in general and administrative expenses are allocated facility-related costs not otherwise included in research and development expenses, travel expenses and professional fees for auditing, tax and legal services, including intellectual property-related legal services, and other consulting fees and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2025 and 2024, other income (expense), net consists of interest income earned on our cash, cash equivalents, restricted cash equivalents and marketable securities and change in the fair value of our investments.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of the financial condition and results of operations should be read in conjunction with the accompanying condensed consolidated financial statements and the related footnotes thereto.</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Comparison of Three Months Ended March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w:t>
      </w:r>
    </w:p>
    <w:tbl>
      <w:tblPr>
        <w:tblW w:w="8216" w:type="dxa"/>
        <w:jc w:val="left"/>
        <w:tblInd w:w="0" w:type="dxa"/>
        <w:tblLayout w:type="fixed"/>
        <w:tblCellMar>
          <w:top w:w="28" w:type="dxa"/>
          <w:left w:w="28" w:type="dxa"/>
          <w:bottom w:w="28" w:type="dxa"/>
          <w:right w:w="28" w:type="dxa"/>
        </w:tblCellMar>
      </w:tblPr>
      <w:tblGrid>
        <w:gridCol w:w="3546"/>
        <w:gridCol w:w="146"/>
        <w:gridCol w:w="211"/>
        <w:gridCol w:w="841"/>
        <w:gridCol w:w="166"/>
        <w:gridCol w:w="146"/>
        <w:gridCol w:w="211"/>
        <w:gridCol w:w="841"/>
        <w:gridCol w:w="166"/>
        <w:gridCol w:w="146"/>
        <w:gridCol w:w="264"/>
        <w:gridCol w:w="921"/>
        <w:gridCol w:w="61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revenue decreased by $12.3 million during the three months ended March 31, 2025, as compared to the three months ended March 31, 2024. The decrease in collaboration revenue is primarily due to a reduction in revenue under the AvenCell license and collaboration agreement (the “AvenCell LCA”).</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expenses decreased by $3.4 million during the three months ended March 31, 2025, as compared to the three months ended March 31, 2024.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together with the changes in those items in dollars and the respective percentages of change:</w:t>
      </w:r>
    </w:p>
    <w:tbl>
      <w:tblPr>
        <w:tblW w:w="9767" w:type="dxa"/>
        <w:jc w:val="left"/>
        <w:tblInd w:w="0" w:type="dxa"/>
        <w:tblLayout w:type="fixed"/>
        <w:tblCellMar>
          <w:top w:w="28" w:type="dxa"/>
          <w:left w:w="28" w:type="dxa"/>
          <w:bottom w:w="28" w:type="dxa"/>
          <w:right w:w="28" w:type="dxa"/>
        </w:tblCellMar>
      </w:tblPr>
      <w:tblGrid>
        <w:gridCol w:w="4111"/>
        <w:gridCol w:w="146"/>
        <w:gridCol w:w="146"/>
        <w:gridCol w:w="222"/>
        <w:gridCol w:w="823"/>
        <w:gridCol w:w="154"/>
        <w:gridCol w:w="154"/>
        <w:gridCol w:w="222"/>
        <w:gridCol w:w="823"/>
        <w:gridCol w:w="146"/>
        <w:gridCol w:w="146"/>
        <w:gridCol w:w="296"/>
        <w:gridCol w:w="889"/>
        <w:gridCol w:w="166"/>
        <w:gridCol w:w="146"/>
        <w:gridCol w:w="184"/>
        <w:gridCol w:w="477"/>
        <w:gridCol w:w="5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Period-to-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Nex-z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NTLA-2002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NTLA-3001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materials and contracted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108,427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research and development expenses for the three months ended March 31, 2025 compared to the three months ended March 31, 2024 was primarily attributable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$9.5 million increase in external costs related to the development of nex-z, our lead product candidate, primarily due to an increase in spend on contracted services and drug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$1.9 million increase in external costs related to the development of NTLA-2002, primarily due to an increase in spend on drug components and contracted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$1.7 million decrease in external costs related to the development of NTLA-3001 as we continue to wind down the program as part of our strategic restructuring in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$5.5 million decrease in employee-related expenses driven primarily by a workforce reduction in January 2025, offset in part by severance expense recorded in the first quarter of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$3.1 million decrease in research materials and contracted services primarily driven by a decrease in internal research and development spend, contracted services and drug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$2.9 million increase in facility-related expenses primarily related to rent expense allocated to research and development;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$7.5 million decrease in stock-based compensation driven by our reduced workforce and lower stock price.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decreased by $2.1 million during the three months ended March 31, 2025, as compared to the three months ended March 31, 2024. This decrease was primarily related to lower employee-related expenses due to a workforce reduction in January 2025 and lower stock-based compensation, partially offset by increases related to severance expenses recorded in the first quarter of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other income, net of $0.1 million is primarily related to a $4.0 million decrease in interest income, offset in part by a $3.9 million decrease in expense due to the change in fair value of our investments.</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through March 31, 2025, we have funded our operations through our collaboration agreements, our initial public offering and concurrent private placements, follow-on public offerings, at-the-market offerings and the sale of convertible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2025, we had $707.1 million in cash, cash equivalents and marketable securities.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At-the-Market Offering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2022 Sale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2022, we entered into an Open Market Sale Agreement (the “2022 Sale Agreement”) with Jefferies LLC (“Jefferies”), under which Jefferies is able to offer and sell, from time to time in “at-the-market” offerings, shares of our common stock having aggregate gross proceeds of up to $400.0 million. In February 2024, we entered into an amendment to the 2022 Sale Agreement (the “2022 Sale Agreement, as amended”) to increase the size of the at-the-market offering program from $400.0 million to $750.0 million. We agreed to pay cash commissions of up to 3.0% of the gross proceeds of sales of common stock under the 2022 Sale Agreement, as amended. Through March 31, 2025 we have issued 14,522,533 shares of our common stock under the 2022 Sale Agreement, as amended. During the three months ended March 31, 2025, we did not issue any shares of our common stock under the 2022 Sale Agreement, as amended. As of March 31, 2025, $249.1 million in shares of common stock remain eligible for sale under the 2022 Sale Agreement, as amended.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sz w:val="20"/>
        </w:rPr>
      </w:pPr>
      <w:r>
        <w:rPr>
          <w:rFonts w:ascii="Times New Roman" w:hAnsi="Times New Roman"/>
          <w:color w:val="000000"/>
          <w:sz w:val="20"/>
        </w:rPr>
        <w:t>Our primary uses of capital are, and we expect will continue to be, research and development research materials and contracted services, clinical trial costs, compensation and related expenses, laboratory and office facilities, research supplies, legal and regulatory expenses, patent prosecution filing and maintenance costs for our licensed IP, milestone and royalty payments and general overhead costs. During 2025, we expect our expenses to decrease</w:t>
      </w:r>
      <w:r>
        <w:rPr>
          <w:rFonts w:ascii="Times New Roman" w:hAnsi="Times New Roman"/>
          <w:color w:val="FF0000"/>
          <w:sz w:val="20"/>
        </w:rPr>
        <w:t xml:space="preserve"> </w:t>
      </w:r>
      <w:r>
        <w:rPr>
          <w:rFonts w:ascii="Times New Roman" w:hAnsi="Times New Roman"/>
          <w:color w:val="000000"/>
          <w:sz w:val="20"/>
        </w:rPr>
        <w:t>compared to prior periods as a result of our recently announced strategic reorganization in January 2025, as we focus resources on high value programs within our pipeline, such as NTLA-2002 and nex-z, to ensure efficient execution, achieve near-term clinical milestones, and prepare for commercial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our lead programs are in the clinical stage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fund our ongoing cash needs through equity financings and collaboration arrangements. We receive cost reimbursements from Regeneron related to our collaboration agreements with them. Additionally, we are eligible to earn milestone payments and royalties, in each case, on a per-product basis under our collaborations with SparingVision, ONK and ReCode, on a per-target basis under our collaboration with Regeneron, and upon achievement of certain events with Kyverna, subject to the provisions of our agreements with each of them. Except for these sources of funding, we will not have any committed external source of liquidity. To the extent that we raise additional capital through the future sale of equity, the ownership interest of our stockholders will be diluted, and the terms of these securities may include liquidation or other preferences that adversely affect the rights of our existing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Outlook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research and development plans and our expectations related to the progress of our programs, we expect that our cash, cash equivalents and marketable securities as of March 31, 2025, as well as research and cost reimbursement funding from our collaboration agreements, will enable us to fund our ongoing operating expenses and capital expenditure requirements into the first half of 2027, excluding any potential milestone payments or extension fees that could be earned and distributed under our collaboration agreements or any strategic use of capital not currently in the base case planning assumptions. We have based this estimate on current assumptions that may prove to be wrong, and we could use our capital resources sooner than we expect.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addressing any competing technological and market developments; negotiating favorable terms in any collaboration, licensing, or other arrangements into which we may enter; maintaining good relationships with our collaborators and licensors; maintaining, protecting, and expanding our portfolio of IP rights, including patents, trade secrets, and know-how; and attracting, hiring, and retaining qualified personnel.</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cash flows:</w:t>
      </w:r>
    </w:p>
    <w:tbl>
      <w:tblPr>
        <w:tblW w:w="6314" w:type="dxa"/>
        <w:jc w:val="left"/>
        <w:tblInd w:w="0" w:type="dxa"/>
        <w:tblLayout w:type="fixed"/>
        <w:tblCellMar>
          <w:top w:w="28" w:type="dxa"/>
          <w:left w:w="28" w:type="dxa"/>
          <w:bottom w:w="28" w:type="dxa"/>
          <w:right w:w="28" w:type="dxa"/>
        </w:tblCellMar>
      </w:tblPr>
      <w:tblGrid>
        <w:gridCol w:w="3541"/>
        <w:gridCol w:w="146"/>
        <w:gridCol w:w="211"/>
        <w:gridCol w:w="841"/>
        <w:gridCol w:w="166"/>
        <w:gridCol w:w="146"/>
        <w:gridCol w:w="211"/>
        <w:gridCol w:w="841"/>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of $148.9 million during the three months ended March 31, 2025 primarily consists of a net loss of $114.3 million, further reduced by accretion of investment discounts of $2.3 million and net changes in operating assets and liabilities of $58.8 million. Included in the net cash used in operating activities is approximately $51.0 million of non-recurring cash payments associated with our previously announced portfolio prioritization, workforce reduction, and real estate consolidation. These decreases are offset in part by stock-based compensation of $21.8 million, $2.1 million in net adjustments to the fair value of our investment in Kyverna and depreciation expense of $2.5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of $120.7 million during the three months ended March 31, 2024 primarily consists of a net loss of $107.4 million, further reduced by changes in operating assets and liabilities of $29.7 million, including the receipt of $5.9 million in payments from our collaboration partners during that period, and the non-cash recognition of $21.0 million of previously eliminated intra-entity profit recorded within “collaboration revenue,” offset in part by non-cash charges of $6.1 million of net adjustments to the fair value of our investments in Kyverna and AvenCell, stock-based compensation of $34.2 million and depreciation expense of $2.5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 months ended March 31, 2025, our investing activities provided cash of $94.3 million. The increase in the three months ended March 31, 2025 is primarily due to $95.1 million in maturities of marketable securities (net of purchases) offset by $0.7 million in cash for the purchase of property and equipment.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March 31, 2024 our investing activities provided cash of $5.9 million. The increase is primarily due to $8.4 million of marketable securities maturing (net of purchases), offset in part by $2.5 million in cash for the purchase of property and equipment.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was no cash provided by financing activities during the three months ended March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of $60.0 million during the three months ended March 31, 2024 includes $58.0 million in net proceeds from at-the-market offerings and $2.0 million in cash received from the exercise of stock options.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critical accounting policies require the most significant judgments and estimates in the preparation of our condensed consolidated financial statements. Management has determined that our most critical accounting policies are those relating to revenue recognition, accrued research and development expenses and stock-based compensation. There have been no changes to our critical accounting policies from those which were discussed in our Annual Report for the year ended December 31,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Please read Note 2, “Summary of Significant Accounting Policies,” to our condensed consolidated financial statements included in Part I, Item 1, “Notes to Condensed Consolidated Financial Statements,” of this Quarterly Report on Form 10-Q for a description of recent accounting pronouncements applicable to our business.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both"/>
        <w:rPr>
          <w:rFonts w:ascii="Times New Roman" w:hAnsi="Times New Roman"/>
          <w:sz w:val="20"/>
        </w:rPr>
      </w:pPr>
      <w:r>
        <w:rPr>
          <w:rFonts w:ascii="Times New Roman" w:hAnsi="Times New Roman"/>
          <w:color w:val="000000"/>
          <w:sz w:val="20"/>
        </w:rPr>
        <w:t>There were no material changes to our contractual obligations during the three months ended March 31, 2025 other than those described within Note 9, “Leases” in the notes to condensed consolidated financial statements</w:t>
      </w:r>
      <w:r>
        <w:rPr>
          <w:rFonts w:ascii="Times New Roman" w:hAnsi="Times New Roman"/>
          <w:i/>
          <w:color w:val="000000"/>
          <w:sz w:val="20"/>
        </w:rPr>
        <w:t>.</w:t>
      </w:r>
      <w:r>
        <w:rPr>
          <w:rFonts w:ascii="Times New Roman" w:hAnsi="Times New Roman"/>
          <w:color w:val="000000"/>
          <w:sz w:val="20"/>
        </w:rPr>
        <w:t xml:space="preserve"> For a complete discussion of our contractual obligations, please refer to our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for the year ended December 31, 2024.</w:t>
      </w:r>
    </w:p>
    <w:p>
      <w:pPr>
        <w:pStyle w:val="TextBody"/>
        <w:bidi w:val="0"/>
        <w:spacing w:before="240" w:after="283"/>
        <w:jc w:val="both"/>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March 31, 2025, we had cash equivalents, restricted cash equivalents and marketable securities of $656.3 million consisting of interest-bearing money market accounts, corporate and financial institution debt securities, U.S. Treasury and other government-backed securities and asset-backed securities. Our primary exposure to market risk is interest rate sensitivity, which is affected by changes in the general level of U.S. interest rates, particularly because our investments are primarily in marketable securities. Due to the short-term duration of our investment portfolios and the low risk profile of our investments, we do not believe an immediate change of 100 basis points, or one percentage point, would have a material effect on the fair market value of our investment portfolio. Declines in interest rates, however, would reduce future investment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foreign currency or derivative financial instruments. Inflation generally affects us by increasing our cost of labor and program costs. We do not believe that inflation had a material effect on our results of operations during the three months ended March 31, 2025.</w:t>
      </w:r>
    </w:p>
    <w:p>
      <w:pPr>
        <w:pStyle w:val="TextBody"/>
        <w:bidi w:val="0"/>
        <w:spacing w:before="24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sz w:val="20"/>
        </w:rPr>
      </w:pPr>
      <w:r>
        <w:rPr>
          <w:rFonts w:ascii="Times New Roman" w:hAnsi="Times New Roman"/>
          <w:b/>
          <w:color w:val="000000"/>
          <w:sz w:val="20"/>
        </w:rPr>
        <w:t>Evaluation of</w:t>
      </w:r>
      <w:r>
        <w:rPr>
          <w:rFonts w:ascii="Times New Roman" w:hAnsi="Times New Roman"/>
          <w:color w:val="000000"/>
          <w:sz w:val="20"/>
        </w:rPr>
        <w:t xml:space="preserve"> </w:t>
      </w:r>
      <w:r>
        <w:rPr>
          <w:rFonts w:ascii="Times New Roman" w:hAnsi="Times New Roman"/>
          <w:b/>
          <w:color w:val="000000"/>
          <w:sz w:val="20"/>
        </w:rPr>
        <w:t>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established disclosure controls and procedures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March 31, 2025 that has materially affected, or is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2" w:name="item_ii_other_information"/>
      <w:bookmarkEnd w:id="12"/>
      <w:r>
        <w:rPr>
          <w:rFonts w:ascii="Times New Roman" w:hAnsi="Times New Roman"/>
          <w:b/>
          <w:color w:val="000000"/>
          <w:sz w:val="20"/>
        </w:rPr>
        <w:t>PART II - OTHER INFORMATION</w:t>
      </w:r>
    </w:p>
    <w:p>
      <w:pPr>
        <w:pStyle w:val="TextBody"/>
        <w:bidi w:val="0"/>
        <w:spacing w:before="12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are from time to time involved in lawsuits, claims, investigations, proceedings, and threats of litigation related to intellectual property (“IP”), commercial arrangements and other matters.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BlueAllele Corp.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July 8, 2024, BlueAllele Corp. (“BlueAllele”) filed a complaint alleging infringement by Intellia of various patents in the U.S. District Court for the District of Delaware. Specifically, BlueAllele alleges that our experimentation, basic research, identification, optimization, manufacturing and/or use of bi-directional insertion template technology infringes the asserted patents and seeks, </w:t>
      </w:r>
      <w:r>
        <w:rPr>
          <w:rFonts w:ascii="Times New Roman" w:hAnsi="Times New Roman"/>
          <w:i/>
          <w:color w:val="000000"/>
          <w:sz w:val="20"/>
        </w:rPr>
        <w:t>inter alia</w:t>
      </w:r>
      <w:r>
        <w:rPr>
          <w:rFonts w:ascii="Times New Roman" w:hAnsi="Times New Roman"/>
          <w:color w:val="000000"/>
          <w:sz w:val="20"/>
        </w:rPr>
        <w:t>, unspecified compensatory damages and an injunction against the alleged infringing activities. On September 12, 2024, we filed a motion to dismiss the complaint, and on December 9, 2024, the court denied the motion to dismiss and discovery began. On January 6, 2025, we filed our answer and counterclaims, and BlueAllele filed a motion to dismiss our counterclaims on January 27, 2025. On February 21, 2025, the court substantially denied BlueAllele’s motion to dismiss, and granted the motion with respect to one counterclaim.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Gonzalez v. Intellia Therapeutics,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February 11, 2025, a purported stockholder of the Company filed a lawsuit, captioned </w:t>
      </w:r>
      <w:r>
        <w:rPr>
          <w:rFonts w:ascii="Times New Roman" w:hAnsi="Times New Roman"/>
          <w:i/>
          <w:color w:val="000000"/>
          <w:sz w:val="20"/>
        </w:rPr>
        <w:t>Gonzalez v. Intellia Therapeutics, Inc.</w:t>
      </w:r>
      <w:r>
        <w:rPr>
          <w:rFonts w:ascii="Times New Roman" w:hAnsi="Times New Roman"/>
          <w:color w:val="000000"/>
          <w:sz w:val="20"/>
        </w:rPr>
        <w:t>, No. 1:25-cv-01353 (D. Mass.), in the U.S. District Court for the District of Massachusetts against the Company and certain of our officers on behalf of a putative class of stockholders who purchased Company shares from July 30, 2024 through January 8, 2025. The complaint alleges claims under Sections 10(b) and 20(a) and Rule 10b-5 of the Securities Exchange Act of 1934 (the “Exchange Act”) premised upon statements relating to the Company’s NTLA-3001 program and the demand for viral-based editing. The complaint seeks unspecified damages, interest, reasonable attorneys’ fees and other costs. We intend to defend vigorously against the claims.</w:t>
      </w:r>
    </w:p>
    <w:p>
      <w:pPr>
        <w:pStyle w:val="TextBody"/>
        <w:bidi w:val="0"/>
        <w:spacing w:before="24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our common stock involves a high degree of risk. In evaluating us and our business, careful consideration should be given to the following risk factors, in addition to the other information set forth in this Quarterly Report on Form 10-Q, our Annual Report on Form 10-K for the year ended December 31, 2024, and in other documents that we file with the Securities and Exchange Commission (“SEC”). If any of the following risks and uncertainties actually occurs, our business, prospects, financial condition and results of operations could be materially and adversely affected. The risks described below are not intended to be exhaustive and are not the only risks facing us. New risk factors can emerge from time to time, and we cannot predict the impact that any factor or combination of factors may have on our business, prospects,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factors denoted with a “*”, if any, are newly added or have been materially updated from our Annual Report on Form 10-K for the year ended December 31, 2024.</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Summary of the Material Risks Associated with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CRISPR/Cas9 genome editing technology has only recently been clinically validated for human therapeutic 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approaches we are taking to discover and develop novel therapeutics using CRISPR/Cas9 systems are unproven and may never lead to marketable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develop viable product candidates, achieve regulatory approval for any such product candidate or market and sell any resulting product, we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involves a lengthy and expensive process, with an uncertain outcome. We may incur additional costs or experience delays in completing, or ultimately be unable to complete, the development and commercialization of any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including data from our preclinical and clinical studies, are not necessarily predictive of our other ongoing and future preclinical and clinical studies, and they do not guarantee or indicate the likelihood of approval of any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candidate by the United States Food and Drug Administration (“FDA”) or any other regulatory agency. If we cannot replicate the positive results from any of our preclinical or clinical activities and studies, we may be unable to successfully develop, obtain regulatory approval for and commercialize any potential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Negative public opinion and increased regulatory scrutiny of CRISPR/Cas9 use, genome editing or gene therapy may damage public perception of the safety of our product candidates and adversely affect our ability to conduct our business or obtain regulatory approvals for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 of any product candidates, such candidates may not gain market acceptance among physicians, patients, hospitals, third party payors and others in the medical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intellectual property from third parties for use in our programs, and termination or modification of any of these licenses could result in the loss of those intellectual property rights, which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generated any revenue from product sales and our ability to generate revenue from product sales and become profitable depends significantly on our success in a number of areas.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genome editing products and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engineered cell therapies based on CRISPR/Cas9 genome editing technology are novel, complex and difficult to manufacture.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experience manufacturing problems that result in delays in the development, approval or commercialization of our product candidates or otherwise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or difficulties in the enrollment of patients in clinical trials, our ability to complete clinical trials or our receipt of necessary regulatory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technological advancements and any potential for revenue may be derived in part from our collaborations, including, for example, with Regeneron Pharmaceuticals, Inc. (“Regeneron”), and if the collaboration or co-development agreements related to a material collaboration were to be terminated or materially altered in an adverse manner, our business, financial condition, results of operations and prospects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or those of our collaborators or other contractors or consultants, may fail or suffer security breaches or compromises, which could result in a material disruption of our operations and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common stock historically has been volatile, which may affect the price at which you could sell any shares of our common stock.</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Preclinical and Clinical Development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CRISPR/Cas9 genome editing technology has only recently been clinically validated for human therapeutic use.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focused on developing novel therapeutics utilizing CRISPR/Cas9 genome editing technology, including </w:t>
      </w:r>
      <w:r>
        <w:rPr>
          <w:rFonts w:ascii="Times New Roman" w:hAnsi="Times New Roman"/>
          <w:i/>
          <w:color w:val="000000"/>
          <w:sz w:val="20"/>
        </w:rPr>
        <w:t xml:space="preserve">in vivo </w:t>
      </w:r>
      <w:r>
        <w:rPr>
          <w:rFonts w:ascii="Times New Roman" w:hAnsi="Times New Roman"/>
          <w:color w:val="000000"/>
          <w:sz w:val="20"/>
        </w:rPr>
        <w:t xml:space="preserve">therapies and </w:t>
      </w:r>
      <w:r>
        <w:rPr>
          <w:rFonts w:ascii="Times New Roman" w:hAnsi="Times New Roman"/>
          <w:i/>
          <w:color w:val="000000"/>
          <w:sz w:val="20"/>
        </w:rPr>
        <w:t>ex vivo</w:t>
      </w:r>
      <w:r>
        <w:rPr>
          <w:rFonts w:ascii="Times New Roman" w:hAnsi="Times New Roman"/>
          <w:color w:val="000000"/>
          <w:sz w:val="20"/>
        </w:rPr>
        <w:t xml:space="preserve"> engineered cell therapies. Although there have been significant advances in recent years in the fields of gene therapy and genome editing, </w:t>
      </w:r>
      <w:r>
        <w:rPr>
          <w:rFonts w:ascii="Times New Roman" w:hAnsi="Times New Roman"/>
          <w:i/>
          <w:color w:val="000000"/>
          <w:sz w:val="20"/>
        </w:rPr>
        <w:t>in vivo</w:t>
      </w:r>
      <w:r>
        <w:rPr>
          <w:rFonts w:ascii="Times New Roman" w:hAnsi="Times New Roman"/>
          <w:color w:val="000000"/>
          <w:sz w:val="20"/>
        </w:rPr>
        <w:t xml:space="preserve"> CRISPR-based genome editing technologies are relatively new and their therapeutic utility is largely unproven. Our approach to developing therapies centers on using CRISPR/Cas9 technology to alter, introduce or remove genetic information </w:t>
      </w:r>
      <w:r>
        <w:rPr>
          <w:rFonts w:ascii="Times New Roman" w:hAnsi="Times New Roman"/>
          <w:i/>
          <w:color w:val="000000"/>
          <w:sz w:val="20"/>
        </w:rPr>
        <w:t xml:space="preserve">in vivo </w:t>
      </w:r>
      <w:r>
        <w:rPr>
          <w:rFonts w:ascii="Times New Roman" w:hAnsi="Times New Roman"/>
          <w:color w:val="000000"/>
          <w:sz w:val="20"/>
        </w:rPr>
        <w:t xml:space="preserve">to treat various disorders, or to engineer human cells </w:t>
      </w:r>
      <w:r>
        <w:rPr>
          <w:rFonts w:ascii="Times New Roman" w:hAnsi="Times New Roman"/>
          <w:i/>
          <w:color w:val="000000"/>
          <w:sz w:val="20"/>
        </w:rPr>
        <w:t>ex vivo</w:t>
      </w:r>
      <w:r>
        <w:rPr>
          <w:rFonts w:ascii="Times New Roman" w:hAnsi="Times New Roman"/>
          <w:color w:val="000000"/>
          <w:sz w:val="20"/>
        </w:rPr>
        <w:t xml:space="preserve"> to create therapeutic cells that can be introduced into the human body to address the underlying disease.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The approaches we are taking to discover and develop novel therapeutics using CRISPR/Cas9 systems are unproven and may never lead to marketable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Successful development of products by us will require solving a number of issues, including developing or obtaining technologies to safely deliver a therapeutic agent into target cells within the human body or engineer human cells while outside of the body such that the modified cells can have a therapeutic effect when delivered to the patient, optimizing the efficacy and specificity of such products, and demonstrating the therapeutic selectivity, efficacy, potency, purity and safety of such products. There can be no assurance we will be successful in solving any or all of these issues. With regards to CRISPR/Cas9-based therapies specifically, we are in clinical-stage development for nex-z and NTLA-2002 and advancing towards clinical testing for our other </w:t>
      </w:r>
      <w:r>
        <w:rPr>
          <w:rFonts w:ascii="Times New Roman" w:hAnsi="Times New Roman"/>
          <w:i/>
          <w:color w:val="000000"/>
          <w:sz w:val="20"/>
        </w:rPr>
        <w:t>in vivo</w:t>
      </w:r>
      <w:r>
        <w:rPr>
          <w:rFonts w:ascii="Times New Roman" w:hAnsi="Times New Roman"/>
          <w:color w:val="000000"/>
          <w:sz w:val="20"/>
        </w:rPr>
        <w:t xml:space="preserve"> and </w:t>
      </w:r>
      <w:r>
        <w:rPr>
          <w:rFonts w:ascii="Times New Roman" w:hAnsi="Times New Roman"/>
          <w:i/>
          <w:color w:val="000000"/>
          <w:sz w:val="20"/>
        </w:rPr>
        <w:t xml:space="preserve">ex vivo </w:t>
      </w:r>
      <w:r>
        <w:rPr>
          <w:rFonts w:ascii="Times New Roman" w:hAnsi="Times New Roman"/>
          <w:color w:val="000000"/>
          <w:sz w:val="20"/>
        </w:rPr>
        <w:t xml:space="preserve">product candidates. Although one CRISPR/Cas9-edited </w:t>
      </w:r>
      <w:r>
        <w:rPr>
          <w:rFonts w:ascii="Times New Roman" w:hAnsi="Times New Roman"/>
          <w:i/>
          <w:color w:val="000000"/>
          <w:sz w:val="20"/>
        </w:rPr>
        <w:t>ex vivo</w:t>
      </w:r>
      <w:r>
        <w:rPr>
          <w:rFonts w:ascii="Times New Roman" w:hAnsi="Times New Roman"/>
          <w:color w:val="000000"/>
          <w:sz w:val="20"/>
        </w:rPr>
        <w:t xml:space="preserve"> therapy has been approved in the United States (“U.S.”) and European Union (“EU”), no genome editing </w:t>
      </w:r>
      <w:r>
        <w:rPr>
          <w:rFonts w:ascii="Times New Roman" w:hAnsi="Times New Roman"/>
          <w:i/>
          <w:color w:val="000000"/>
          <w:sz w:val="20"/>
        </w:rPr>
        <w:t xml:space="preserve">in vivo </w:t>
      </w:r>
      <w:r>
        <w:rPr>
          <w:rFonts w:ascii="Times New Roman" w:hAnsi="Times New Roman"/>
          <w:color w:val="000000"/>
          <w:sz w:val="20"/>
        </w:rPr>
        <w:t>therapy has been approved in the U.S., EU countries or other key jurisdictions, and the potential to successfully obtain approval for any of our CRISPR/Cas9 product candidates remains uncertain.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develop viable product candidates, achieve regulatory approval for any such product candidate or market and sell any resulting product, we may never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also is highly dependent on the successful development of CRISPR-based genome editing technologies, cellular delivery methods and therapeutic applications for the indications on which we have focused our ongoing research and development efforts. We may decide to alter or abandon these programs as new data become available and we gain experience in developing CRISPR/Cas9-based therapeutics. We cannot be sure that our CRISPR/Cas9 efforts and technologies will yield satisfactory products that are safe and effective, sufficiently pure or potent, manufacturable, scalable or profitable in our selected indications or any other indication we pursue. We cannot guarantee that progress or success in developing any particular CRISPR/Cas9-based therapeutic product will translate to other CRISPR/Cas9-based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 perception and related media coverage of potential therapy-related efficacy or safety issues, including adoption of new therapeutics or novel approaches to treatment, as well as ethical concerns related specifically to genome editing and CRISPR-based therapies, may adversely influence the willingness of subjects to participate in clinical trials, or if any therapeutic is approved, of physicians and patients to accept these novel and personalized treatments. Physicians, healthcare providers and third party payors often are slow to adopt new products, technologies and treatment practices, particularly those that may also require additional upfront costs and training. Physicians may not be willing to undergo training to adopt these novel therapies, may decide the particular therapy is too complex or potentially risky to adopt without appropriate training, and may choose not to administer the therapy. Further, due to health conditions, genetic profile or other reasons, certain patients may not be candidates for the therapies. In addition, responses by federal and state agencies, congressional committees and foreign governments to negative public perception, ethical concerns or financial considerations may result in new legislation, regulations, or medical standards that could limit our ability to develop or commercialize any product candidates, obtain or maintain regulatory approval or otherwise achieve profitability.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 Based on these and other factors, healthcare providers and payors may decide that the benefits of these new therapies do not or will not outweigh their costs, which would affect our ability to market and sell our product candidates and achieve profitability.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programs are still in the discovery, preclinical or clinical stage. Our current and future product candidates will require preclinical and clinical activities and studies, regulatory review and approval in each jurisdiction in which we intend to market the products, substantial investment, establishing manufacturing capabilities,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potency and efficacy of the product in humans. It is impossible to predict when or if any of our programs will prove effective and safe in humans or will receive regulatory approval. Preclinical and clinical testing is expensive, difficult to design and implement, can take many years to complete and is uncertain as to outcome. We may be unable to establish clinical endpoints that regulatory authorities consider clinically meaningful, and a clinical trial can fail at any stage. The outcome of preclinical testing and clinical trials may not be predictive of the success of later clinical trials, and interim results of a clinical trial do not necessarily predict final results. Moreover, preclinical and clinical data are often susceptible to varying interpretations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analyses, and many companies that have believed their product candidates performed satisfactorily in preclinical studies and clinical trials have nonetheless failed to obtain approval of their products.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incur additional costs or experience delays in completing, or ultimately be unable to complete, the development and commercialization of any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 completion of clinical trials is a prerequisite to submitting a Biologics License Application (“BLA”) to the U.S. Food and Drug Administration (“FDA”), and similar applications to comparable foreign regulatory authorities, for each product candidate and, consequently, the ultimate approval and commercial marketing of any product candidates. We do not know whether any of our clinical trials will begin or be completed on schedule, if at all. In addition, the regulatory requirements for later phase clinical trials, such as pivotal trials, are generally more stringent than earlier phase clinical trials, such as Phase 1 trials. We may not meet the requirements of regulatory authorities, such as the FDA, for initiating later phase clinical trials for our product candidates, which could delay the development of our product candidates, including the submission of a BLA or comparable marketing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these are new therapeutic approaches, discovering, developing, manufacturing and commercializing our product candidates may subject us to a number of challenges or delays in completing our preclinical studies and initiating or completing clinical trials. We also may experience numerous unforeseen events during, or as a result of, any current or future clinical trials that we conduct, which could delay or prevent our ability to receive marketing approval or commercialize our product candidates, including: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challenges in obtaining regulatory authorization or approval to conduct clinical trials in the U.S. from the FDA through an investigational new drug (“IND”) application or from other regulatory agencies outside the U.S., such as the United Kingdom (“U.K.”) Medicines and Healthcare products Regulatory Agency (“MHRA”) or the European Medicines Agency (“EMA”), through corresponding applications, such as a clinical trial application, a clinical trial notification or a clinical trial exemption, because these agencies have very limited or no experience with the clinical development of CRISPR/Cas9-based therapeutics, particularly </w:t>
      </w:r>
      <w:r>
        <w:rPr>
          <w:rFonts w:ascii="Times New Roman" w:hAnsi="Times New Roman"/>
          <w:i/>
          <w:color w:val="000000"/>
          <w:sz w:val="20"/>
        </w:rPr>
        <w:t xml:space="preserve">in vivo </w:t>
      </w:r>
      <w:r>
        <w:rPr>
          <w:rFonts w:ascii="Times New Roman" w:hAnsi="Times New Roman"/>
          <w:color w:val="000000"/>
          <w:sz w:val="20"/>
        </w:rPr>
        <w:t>therapeutics, which may require additional significant testing or data compared to more traditional therapies or otherwise delay the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successfully developing processes for the safe administration of these product candidates, including long-term follow-up for patients who receive treatment with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to reach, or delays in reaching, agreement on acceptable terms with trial sites and contract research organizations (“CROs”);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any product candidates may fail to show safety or efficacy, or could produce negative or inconclusive results, which could result in having to conduct additional preclinical studies or clinical trials or terminating the product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we may not be able to initiate or complete clinical trials of a product candidate if the required number of subjects is larger than we anticipated, the number of subjects willing to enroll is smaller than required, the pace of enrollment is slower than anticipated, or subjects drop out or fail to return for post-treatment follow-up at a higher rate than we anticipated;</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educate medical personnel, including clinical investigators, and patients regarding the potential benefits and side effect profile of each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us to amend our INDs or equivalent regulatory filings, modify the design of our clinical trials or perform more extensive or lengthier preclinical or clinical testing compared to existing therapeutic modalities, any of which may delay the initiation or progression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animal models may not exist, or available animal models may be inadequate, for some of the human diseases we choose to pursue in our programs, or the preclinical studies we perform as part of our programs;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 party contractors, clinical trial sites or investigators may fail to comply with regulatory requirements or meet their performance obligations to us in a timely manner, or at all, or may deviate from the clinical trial protocol or drop out of the trial, which may require that we add new clinical trial sites or investigators;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preclinical studies and clinical trials of any product candidates may be greater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preclinical studies and clinical trials of our product candidates may be insufficient or inadequate, or not available in a reasonable timeframe, and any transfer of manufacturing activities may require unforeseen manufacturing or formulation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face challenges in sourcing preclinical, clinical and, if approved, commercial supplies for the materials used to manufacture and process our product candidates, which may include importing or exporting materials between different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such as effects or characteristics resulting from their biodistribution or mechanism of action, causing us or our investigators, regulators, IRBs or ethics committees to suspend or terminate the trials, or reports may arise from preclinical or clinical testing of other gene therapies or genome editing-based therapies that raise safety or efficacy concerns about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other regulatory authorities may require us to submit additional data, such as long-term toxicology studies, or impose other requirements, including submitting preclinical data earlier in clinical development compared to existing therapeutic modalities or requiring amendments to our regulatory filings, before permitting us to initiate or rely on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face challenges in establishing sales and marketing capabilities in anticipation of, and after obtaining, any regulatory approval to gain market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or other regulatory authorities may revise the requirements for authorizing our clinical trials or approving our product candidates, or their interpretation of the authorization or approval requirements may not be what we anticipate or require us to adopt Risk Evaluation and Mitigation Strategy (“REMS”) as a condition of approval;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not ultimately obtain regulatory approval for a BLA, or corresponding applications outside the U.S., such as a marketing authorization application in the U.K. and other similar regulatory authorities, which may have very limited or no experience with the clinical development of CRISPR/Cas9-based therapeutics, particularly </w:t>
      </w:r>
      <w:r>
        <w:rPr>
          <w:rFonts w:ascii="Times New Roman" w:hAnsi="Times New Roman"/>
          <w:i/>
          <w:color w:val="000000"/>
          <w:sz w:val="20"/>
        </w:rPr>
        <w:t xml:space="preserve">in vivo </w:t>
      </w:r>
      <w:r>
        <w:rPr>
          <w:rFonts w:ascii="Times New Roman" w:hAnsi="Times New Roman"/>
          <w:color w:val="000000"/>
          <w:sz w:val="20"/>
        </w:rPr>
        <w:t xml:space="preserve">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the IRBs of the institutions in which such trials are being conducted, the relevant ethics committee or the FDA or other relevant regulatory authorities, or if the Data Monitoring Committee (“DMC”) for such trial recommends such suspension or termination. Such authorities may impose or recommend such a suspension or termination due to a number of factors, including failure to conduct the clinical trial in accordance with regulatory requirements or our study protocols, inspection of the clinical trial operations or trial site by the FDA or other regulatory authorities, resulting in the imposition of a clinical hold, manufacturing or quality control issues,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lead to a delay in submitting a BLA or comparable marketing application or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Additionally, because our </w:t>
      </w:r>
      <w:r>
        <w:rPr>
          <w:rFonts w:ascii="Times New Roman" w:hAnsi="Times New Roman"/>
          <w:i/>
          <w:color w:val="000000"/>
          <w:sz w:val="20"/>
        </w:rPr>
        <w:t xml:space="preserve">in vivo </w:t>
      </w:r>
      <w:r>
        <w:rPr>
          <w:rFonts w:ascii="Times New Roman" w:hAnsi="Times New Roman"/>
          <w:color w:val="000000"/>
          <w:sz w:val="20"/>
        </w:rPr>
        <w:t xml:space="preserve">technology potentially involves genome editing across multiple cell and tissue types, we are subject to many of the challenges and risks that other genome editing therapeutics and gene therapies face,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guidance for gene and genome editing therapy products has changed and may continue to change in the future, including, e.g., the finalized guidance document titled “Human Gene Therapy Products Incorporating Human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Genome Editing” that the FDA issued in January 2024 and the draft guidance document titled “Frequently Asked Questions — Developing Potential Cellular and Gene Therapy Products” published in November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improper modulation of a gene sequence, including unintended editing events, insertion of a sequence into certain locations in a patient’s chromosome or other effects related to the biodistribution of our product candidates, could lead to cancer, other aberrantly functioning cells or other diseases, including death;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transient expression of the Cas9 protein or other genome editing components of our product candidates could lead to patients having an immunological reaction towards those modified cells, which could be severe or life-threatening;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products including, for example, the FDA’s recommended 15-year follow-up observation period for these patients, and we will need to adopt such observation periods for our product candidates if required by the relevant regulatory agency, which could vary by country or region.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 because our </w:t>
      </w:r>
      <w:r>
        <w:rPr>
          <w:rFonts w:ascii="Times New Roman" w:hAnsi="Times New Roman"/>
          <w:i/>
          <w:color w:val="000000"/>
          <w:sz w:val="20"/>
        </w:rPr>
        <w:t xml:space="preserve">ex vivo </w:t>
      </w:r>
      <w:r>
        <w:rPr>
          <w:rFonts w:ascii="Times New Roman" w:hAnsi="Times New Roman"/>
          <w:color w:val="000000"/>
          <w:sz w:val="20"/>
        </w:rPr>
        <w:t>product candidates involve editing human cells and then delivering modified cells to patients, we are subject to many of the challenges and risks that engineered cell therapies face. For example, patients treated with engineered cell-based gene therapies may experience an allogeneic response leading to allograft rejection and potential local and systemic toxicities, which could be severe or life-threatening.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date, most human clinical trials utilizing either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 xml:space="preserve">ex vivo </w:t>
      </w:r>
      <w:r>
        <w:rPr>
          <w:rFonts w:ascii="Times New Roman" w:hAnsi="Times New Roman"/>
          <w:color w:val="000000"/>
          <w:sz w:val="20"/>
        </w:rPr>
        <w:t xml:space="preserve">CRISPR-based therapeutics are still at a clinical stage, with only one </w:t>
      </w:r>
      <w:r>
        <w:rPr>
          <w:rFonts w:ascii="Times New Roman" w:hAnsi="Times New Roman"/>
          <w:i/>
          <w:color w:val="000000"/>
          <w:sz w:val="20"/>
        </w:rPr>
        <w:t xml:space="preserve">ex vivo </w:t>
      </w:r>
      <w:r>
        <w:rPr>
          <w:rFonts w:ascii="Times New Roman" w:hAnsi="Times New Roman"/>
          <w:color w:val="000000"/>
          <w:sz w:val="20"/>
        </w:rPr>
        <w:t xml:space="preserve">CRISPR-based therapeutic product approved in the U.S. and EU. We have ongoing clinical trials in various countries for nex-z for transthyretin (“ATTR”) amyloidosis and NTLA-2002 for hereditary angioedema (“HAE”). There is no certainty that the FDA or other similar agencies will continue to apply to all our CRISPR/Cas9 product candidates the same regulatory pathway and requirements it is applying to other </w:t>
      </w:r>
      <w:r>
        <w:rPr>
          <w:rFonts w:ascii="Times New Roman" w:hAnsi="Times New Roman"/>
          <w:i/>
          <w:color w:val="000000"/>
          <w:sz w:val="20"/>
        </w:rPr>
        <w:t xml:space="preserve">in vivo </w:t>
      </w:r>
      <w:r>
        <w:rPr>
          <w:rFonts w:ascii="Times New Roman" w:hAnsi="Times New Roman"/>
          <w:color w:val="000000"/>
          <w:sz w:val="20"/>
        </w:rPr>
        <w:t xml:space="preserve">therapies or </w:t>
      </w:r>
      <w:r>
        <w:rPr>
          <w:rFonts w:ascii="Times New Roman" w:hAnsi="Times New Roman"/>
          <w:i/>
          <w:color w:val="000000"/>
          <w:sz w:val="20"/>
        </w:rPr>
        <w:t xml:space="preserve">ex vivo </w:t>
      </w:r>
      <w:r>
        <w:rPr>
          <w:rFonts w:ascii="Times New Roman" w:hAnsi="Times New Roman"/>
          <w:color w:val="000000"/>
          <w:sz w:val="20"/>
        </w:rPr>
        <w:t>engineered therapeutics.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if any product candidates encounter safety or efficacy problems, development delays, regulatory issues or other problems, our development plans and business could be significantly harmed. For the reasons described above, among others, regulatory bodies, particularly the FDA, have requested, and may request in the future, additional preclinical studies for genome editing products, such as additional studies related to toxicology, biodistribution or reproductive health, and/or preclinical studies earlier in clinical development compared to other therapeutic modalities. Although the FDA cleared the INDs that we have submitted, it is possible that the FDA may impose requirements that result in a delay of any of our programs, including our submission of a BLA or comparable marketing application, or their regulatory approval. If we are unable to complete the required studies satisfactorily, the FDA or other regulatory bodies could require that we exclude certain patient populations from clinical studies, place our clinical studies on hold, or require us to cease further clinical studies or deny approval of such product candidates. Further, competitors that are developing </w:t>
      </w:r>
      <w:r>
        <w:rPr>
          <w:rFonts w:ascii="Times New Roman" w:hAnsi="Times New Roman"/>
          <w:i/>
          <w:color w:val="000000"/>
          <w:sz w:val="20"/>
        </w:rPr>
        <w:t>in vivo</w:t>
      </w:r>
      <w:r>
        <w:rPr>
          <w:rFonts w:ascii="Times New Roman" w:hAnsi="Times New Roman"/>
          <w:color w:val="000000"/>
          <w:sz w:val="20"/>
        </w:rPr>
        <w:t xml:space="preserve"> or </w:t>
      </w:r>
      <w:r>
        <w:rPr>
          <w:rFonts w:ascii="Times New Roman" w:hAnsi="Times New Roman"/>
          <w:i/>
          <w:color w:val="000000"/>
          <w:sz w:val="20"/>
        </w:rPr>
        <w:t>ex vivo</w:t>
      </w:r>
      <w:r>
        <w:rPr>
          <w:rFonts w:ascii="Times New Roman" w:hAnsi="Times New Roman"/>
          <w:color w:val="000000"/>
          <w:sz w:val="20"/>
        </w:rPr>
        <w:t xml:space="preserve"> products with similar technology may experience problems with their product candidates or programs that could in turn cause us to identify problems with our product candidates and programs or cause the FDA or other regulatory bodies to impose additional requirements, that could cause us to delay or pause development of our product candidates. Any of these occurrences may harm our ability to identify and develop product candidates, and may harm our business, financial condition, results of operations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manufacturing delays or other issues that prevent us from executing the clinical trials for nex-z and NTLA-2002 or our other product candidates on the timeline we expect. Moreover, we cannot guarantee that the FDA, MHRA, the New Zealand Medicines and Medical Devices Safety Authority, or other regulatory authorities will not change their requirements in the future or that they will approve amendments to our INDs or equivalent regulatory filings, including for nex-z and NTLA-2002, or our other product candidates, on the timeline we expect.</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positive results from any of our preclinical or clinical activities and studies, we may be unable to successfully develop, obtain regulatory approval for and commercialize any potential product candidate.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disclose interim data from our clinical trials, such as the interim results of our ongoing Phase 1 study of nex-z or Phase 1/2 study of NTLA-2002. Interim data from clinical trials that have not been completed are subject to the risk that the later results may be materially different as patient enrollment continues. We also make assumptions, estimations, calculations and conclusions as part of our analyses of data, and we may not have received or had the opportunity to fully and carefully evaluate all data. As a result, results that we report may differ from future results of the same studies, or different conclusions or considerations may qualify such results, once additional data have been received and fully evaluated. Consequently, interim data should be viewed with caution until we make the final data and analysis available.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is a high failure rate, as well as potential substantial and unanticipated delays, for product candidates progressing through preclinical and clinical studies. Even if we are able to successfully complete our ongoing and future preclinical and clinical activities and studies for any potential product candidate, we may not be able to replicate, or may have to engage in significant efforts and resource and time investments to replicate, any positive results from these or any other studies in any of our future preclinical and clinical trials, and they do not guarantee approval of any potential product candidate by the FDA or any other necessary regulatory authorities in a timely manner or at all. For more information regarding these risks, see also the remainder of this risk factor section. </w:t>
      </w:r>
    </w:p>
    <w:p>
      <w:pPr>
        <w:pStyle w:val="TextBody"/>
        <w:bidi w:val="0"/>
        <w:spacing w:before="240" w:after="283"/>
        <w:jc w:val="both"/>
        <w:rPr>
          <w:rFonts w:ascii="Times New Roman" w:hAnsi="Times New Roman"/>
          <w:sz w:val="20"/>
        </w:rPr>
      </w:pPr>
      <w:r>
        <w:rPr>
          <w:rFonts w:ascii="Times New Roman" w:hAnsi="Times New Roman"/>
          <w:b/>
          <w:i/>
          <w:color w:val="000000"/>
          <w:sz w:val="20"/>
        </w:rPr>
        <w:t>Negative public opinion and increased regulatory scrutiny of CRISPR/Cas9 use, genome editing or gene therapy may damage public perception of the safety of our product candidates and adversely affect our ability to conduct our business or obtain regulatory approvals for such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Gene therapy in general, and genome editing in particular, remain novel technologies, with only a limited number of gene therapy products, and only one </w:t>
      </w:r>
      <w:r>
        <w:rPr>
          <w:rFonts w:ascii="Times New Roman" w:hAnsi="Times New Roman"/>
          <w:i/>
          <w:color w:val="000000"/>
          <w:sz w:val="20"/>
        </w:rPr>
        <w:t>ex vivo</w:t>
      </w:r>
      <w:r>
        <w:rPr>
          <w:rFonts w:ascii="Times New Roman" w:hAnsi="Times New Roman"/>
          <w:color w:val="000000"/>
          <w:sz w:val="20"/>
        </w:rPr>
        <w:t xml:space="preserve"> genome editing product, approved to date in the U.S. and EU. Public perception may be influenced by claims that gene therapy or genome editing, including the use of CRISPR/Cas9, is unsafe or unethical, or carries an undue risk of side effects, such as improper modification of a gene sequence in a patient’s chromosome that could lead to disease such as cancer, and gene therapy or genome editing may not gain the acceptance of the public or the medical community. In particular, our success will depend upon physicians who specialize in the treatment of diseases targeted by our product candidates prescribing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could have an adverse effect on our business, financial condition and results of operations and prospects, and may delay or impair the development and commercialization of our product candidates or demand for any products we may develop. For example, certain gene therapy trials led to several well-publicized adverse events, including cases of leukemia and death. Serious adverse events, such as these, in our clinical trials, or other clinical trials involving gene therapy or genome editing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 In addition, the use of genome editing technology by third parties in areas that are not being pursued by us, such as for targeting and editing of embryonic cells, could adversely impact public and governmental perceptions regarding the ethics and risks of CRISPR/Cas9 technology and lead to social or legal changes that could limit our ability to apply the technology to develop human therapies addressing disease. For example, reports of the use of CRISPR/Cas9 in China and Russia to edit embryos </w:t>
      </w:r>
      <w:r>
        <w:rPr>
          <w:rFonts w:ascii="Times New Roman" w:hAnsi="Times New Roman"/>
          <w:i/>
          <w:color w:val="000000"/>
          <w:sz w:val="20"/>
        </w:rPr>
        <w:t xml:space="preserve">in utero </w:t>
      </w:r>
      <w:r>
        <w:rPr>
          <w:rFonts w:ascii="Times New Roman" w:hAnsi="Times New Roman"/>
          <w:color w:val="000000"/>
          <w:sz w:val="20"/>
        </w:rPr>
        <w:t>have generated, and may continue to generate, negative public perception about the use of the technology in humans. Negative public and governmental perception of the technology, or additional governmental regulation of our technologies, could also adversely affect our stock price or our ability to enter into revenue generating collaborations or obtain additional funding from the public markets.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the Industry</w:t>
      </w:r>
    </w:p>
    <w:p>
      <w:pPr>
        <w:pStyle w:val="TextBody"/>
        <w:bidi w:val="0"/>
        <w:spacing w:before="120" w:after="283"/>
        <w:jc w:val="both"/>
        <w:rPr>
          <w:rFonts w:ascii="Times New Roman" w:hAnsi="Times New Roman"/>
          <w:sz w:val="20"/>
        </w:rPr>
      </w:pPr>
      <w:r>
        <w:rPr>
          <w:rFonts w:ascii="Times New Roman" w:hAnsi="Times New Roman"/>
          <w:b/>
          <w:i/>
          <w:color w:val="000000"/>
          <w:sz w:val="20"/>
        </w:rPr>
        <w:t>Inconclusive results, lack of efficacy, adverse events or additional safety concerns in clinical trials that we or others conduct may impede the regulatory approval process or overall market acceptance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Therapeutic applications of genome editing technologies, and CRISPR/Cas9 in particular, for both </w:t>
      </w:r>
      <w:r>
        <w:rPr>
          <w:rFonts w:ascii="Times New Roman" w:hAnsi="Times New Roman"/>
          <w:i/>
          <w:color w:val="000000"/>
          <w:sz w:val="20"/>
        </w:rPr>
        <w:t>in vivo</w:t>
      </w:r>
      <w:r>
        <w:rPr>
          <w:rFonts w:ascii="Times New Roman" w:hAnsi="Times New Roman"/>
          <w:color w:val="000000"/>
          <w:sz w:val="20"/>
        </w:rPr>
        <w:t xml:space="preserve"> products and </w:t>
      </w:r>
      <w:r>
        <w:rPr>
          <w:rFonts w:ascii="Times New Roman" w:hAnsi="Times New Roman"/>
          <w:i/>
          <w:color w:val="000000"/>
          <w:sz w:val="20"/>
        </w:rPr>
        <w:t xml:space="preserve">ex vivo </w:t>
      </w:r>
      <w:r>
        <w:rPr>
          <w:rFonts w:ascii="Times New Roman" w:hAnsi="Times New Roman"/>
          <w:color w:val="000000"/>
          <w:sz w:val="20"/>
        </w:rPr>
        <w:t xml:space="preserve">products, are uncertain and must undergo rigorous clinical trials and regulatory review before receiving marketing authorization. If the results of our clinical studies or those of any other third parties, including with respect to genome editing technology or engineered cell therapies, are inconclusive or fail to show efficacy or if such clinical trials give rise to safety concerns or adverse events,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prevented from, or delayed in, obtaining marketing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the addition of labeling statements, such as warnings or contraindications, or other types of regulatory restrictions or scrutiny;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required to perform additional clinical studies to support approval or be subject to additional post-marketing testing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regulatory authorities modify or withdraw their legal requirements or written guidance, if any, regarding the applicable regulatory approval pathway or any approval of the product in question, or impose restrictions on its distribution in the form of a modified REMS or similar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sued;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product candidates could potentially cause other adverse events that have not yet been predicted and the potentially permanent nature of genome editing effects, including CRISPR/Cas9’s effects, on genes or novel cell therapies in the organs of the human body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product candidates and impair our ability to achieve profitability. </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of biopharmaceutical products is inherently risky. We may not be successful in our efforts to use and enhance our genome editing technology to create a pipeline of product candidates, establish the necessary manufacturing capabilities,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at a clinical stage of development and our technology and approach has not yet led, and may never lead, to the approval or commercialization of any of our product candidates, including nex-z for ATTR amyloidosis, NTLA-2002 for HAE, or to our other preclinical stage product candidates being deemed appropriate for clinical development and ultimately approval by a regulatory agency. Even if we are successful in building our pipeline of product candidates, completing clinical development, establishing the necessary manufacturing processes and capabilities, obtaining regulatory approvals and commercializing product candidates will require substantial additional funding and are subject to the risks of failure inherent in therapeutic product development. Investment in biopharmaceutical product development involves significant risk that any potential product candidate will fail to demonstrate acceptable safety and efficacy profiles, gain regulatory approval, or become commercially viable. </w:t>
      </w:r>
    </w:p>
    <w:p>
      <w:pPr>
        <w:pStyle w:val="TextBody"/>
        <w:bidi w:val="0"/>
        <w:spacing w:before="240" w:after="283"/>
        <w:jc w:val="both"/>
        <w:rPr>
          <w:rFonts w:ascii="Times New Roman" w:hAnsi="Times New Roman"/>
          <w:sz w:val="20"/>
        </w:rPr>
      </w:pPr>
      <w:r>
        <w:rPr>
          <w:rFonts w:ascii="Times New Roman" w:hAnsi="Times New Roman"/>
          <w:color w:val="000000"/>
          <w:sz w:val="20"/>
        </w:rPr>
        <w:t>We cannot provide any assurance that we will be able to successfully advance any of our product candidates, including nex-z, NTLA-2002 or product candidates developed through our collaborations, through the entire research and development process. Any of our other programs may show promise yet fail to yield product candidates for clinical development or commercialization for many reasons. For more information regarding these risks, see the above risk factor section entitled “</w:t>
      </w:r>
      <w:r>
        <w:rPr>
          <w:rFonts w:ascii="Times New Roman" w:hAnsi="Times New Roman"/>
          <w:color w:val="000000"/>
          <w:sz w:val="20"/>
          <w:u w:val="single"/>
        </w:rPr>
        <w:t>Risks Related to Preclinical and Clinical Development.</w:t>
      </w: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Even if we obtain regulatory approval of any product candidates, such candidates may not gain market acceptance among physicians, patients, hospitals, third party payors and others in the medical community.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use of the CRISPR/Cas9 system to create genome editing-based therapies is a recent development and may not become broadly accepted by patients, healthcare providers, third party payors and other stakeholders. A variety of factors will influence whether our product candidates are accepted in the market, including, for example: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incidence and severity of any side effects, including any unintended deoxyribonucleic acid (“DNA”)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labeling or product insert requirements of the FDA or other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other regulatory authorities, which may include warnings or other information about possible unintended DNA changes;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market introduction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availability or existence of competitive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treatment in relation to alternative treatments;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upfront costs or training required for healthcare providers to administer our product candidates, which may include availability of adequate facilities and equipment;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availability of adequate coverage, reimbursement and pricing by government authorities and other third 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ability to access healthcare providers capable of delivering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out-of-pocket in the absence of coverage and reimbursement by government authorities and other third 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relative convenience and ease of administration, including as compared to alternative treatments and competitive therapies;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restrictions on the use of our product candidates together with other medications;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interactions of our product candidates with other medicines patients are taking;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adverse events for any products developed, or negative interactions with regulatory agencies, by us or others in the gene therapy and genome editing fields;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w:t>
      </w:r>
      <w:r>
        <w:rPr>
          <w:rFonts w:ascii="Times New Roman" w:hAnsi="Times New Roman"/>
          <w:i/>
          <w:color w:val="000000"/>
          <w:sz w:val="20"/>
        </w:rPr>
        <w:t xml:space="preserve">in vivo </w:t>
      </w:r>
      <w:r>
        <w:rPr>
          <w:rFonts w:ascii="Times New Roman" w:hAnsi="Times New Roman"/>
          <w:color w:val="000000"/>
          <w:sz w:val="20"/>
        </w:rPr>
        <w:t>use of CRISPR/Cas9, genome edited modified cells, or other therapeutics mediums, such as viral vectors that we may use in our clinical trials may limit market acceptance of our product candidates. If our product candidates are approved but fail to achieve market acceptance among physicians, patients, hospitals, third party payors or others in the medical community, we will not be able to generate significant revenue. Our efforts to educate the healthcare providers, patients and third party payors about our products may require significant resources and may never be successful.</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Third Party and Licensed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Third party claims of intellectual property infringement against us, our licensors or our collaborators may prevent or delay our product discovery, research, development, and/or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valid patents and proprietary rights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in the fields in which we are developing our product candidates and in areas potentially related to components and methods we use or may use in our research, development, and commercialization efforts. As our product candidates advance through development, as research in the fields in which we work expands, and as more patents are issued, the risk increases that our product candidates, or the resulting products, may give rise to claims of infringement of patent rights owned or controlled by third parties. Our product candidates are complex and may include multiple components, such as Cas9 protein or messenger ribonucleic acid encoding Cas9 protein, guide ribonucleic acids (“gRNAs”), targeting molecules, virus or virus-like particles, or formulation components, such as lipids and lipid nanoparticles. We cannot guarantee that any of these components of our technology, processes, or future product candidates, or the commercialization or use of such product candidates, do not infringe third party patents. It is also possible that we have failed to identify relevant third party patents or applications. Because patent rights are granted jurisdiction-by-jurisdiction, our freedom to practice certain technologies, including our ability to research, develop and/or commercialize our product candidates, or the resulting products, may differ by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assert that we infringe their patents or that we are otherwise employing their proprietary technology without authorization and may sue us. There may be third party patents with claims to compositions, formulations, methods of manufacture or methods of use or treatment that cover product candidates we discover, research, develop, and/or commercialize. For example, on July 8, 2024, BlueAllele Corp. (“BlueAllele”) filed a complaint alleging infringement by Intellia of various patents in the U.S. District Court for the District of Delaware, as more fully discussed in the Legal Proceedings section below.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or products that we develop infringes these patents. If a court of competent jurisdiction were to hold that we infringed such patents, the holders of any such patents may be able to obtain a court order, or other form of relief, blocking our ability to commercialize, manufacture, import, and/or use the applicable product candidate, or resulting products, in the applicable jurisdiction(s) unless we obtain a license under the applicable patents, or until such patents expire or are finally determined to be held invalid or unenforceable. Such a license may not be available on commercially reasonable terms or at all, or obtaining such a license may result in significant costs or delays. Even if we were able to obtain a license, it could be limited in scope or geography or it could be non-exclusive, i.e., our competitors may be able to obtain a similar license on substantially the same or better terms. If we are unable to obtain a license on reasonable terms, we could be forced, including by court order, to cease commercializing, manufacturing, importing, and/or using the infringing technology or product, or to redesign our infringing products, which could result in significant costs or delays. In addition, we could be found liable for monetary damages, including treble damages and attorneys’ fees if we are found to have willfully infringed a patent. Any of the foregoing assertions or results could materially harm our business, cause significant costs or delays to our plans, and/or prevent us from further developing and commercializing the affected product candidates or products, thereby causing us significant harm.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be obligated to defend and/or indemnify our existing or potential collaborators, clinical investigators, contract manufacturing organizations (“CMOs”), CROs, consultants or vendors if a third party asserts similar infringement claims against them based on use of our technologies or the manufacture, use or sale of our product candidates or products that we develop, including product candidates or products developed with our collaborators.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Even if we are not found liable for infringing or misappropriating the intellectual property of a third party, such claims could be expensive and time-consuming to defend and could result in adverse publicity that could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may seek to obtain intellectual property rights that encompass or overlap with intellectual property that we own or license from them or others. Legal proceedings may be initiated to determine the scope and ownership of these rights, and could result in our loss of intellectual property rights. As discussed above, legal proceedings asserting that we infringe, do not own, or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do not have the right to exploit intellectual property rights of a third party could result in legal orders, such as injunctions or other equitable relief, that could effectively block our ability to further develop and commercialize our product candidates or products that we develop, or require us to obtain a license to such third party’s intellectual property rights, resulting in significant costs or delays. In addition, as discussed above, such legal proceedings could affect product candidates or products developed with our collaborators, which may also require us to defend and/or indemnify our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through a license agreement between Caribou Biosciences, Inc. and us (the “Caribou License”), we sublicense the rights of the Regents of the University of California and the University of Vienna (collectively, “UC/Vienna”) to a worldwide patent portfolio that covers methods of use and compositions relating to engineered CRISPR/Cas9 systems for, among other things, cleaving or editing DNA and altering gene product expression in various organisms, including eukaryotic cells. We sublicense the UC/Vienna rights to this patent portfolio for human therapeutic, prophylactic and palliative uses, including companion diagnostics, except for anti-fungal and anti-microbial uses. Because UC/Vienna co-own this portfolio with Dr. Emmanuelle Charpentier (who has separately licensed her rights to other parties), we refer to this co-owned worldwide patent portfolio as the “UC/Vienna/Charpentier patent family.” In addition, we have granted further sublicenses to this portfolio to our collaborators in certain fields of use. The UC/Vienna/Charpentier patent portfolio to-date includes, for example, multiple granted, allowed, and/or allowable patent applications in the U.S., as well as granted patents from the European Patent Office, the United Kingdom’s Intellectual Property Office, the German Patent and Trade Mark Office, Australia’s Intellectual Property agency and China’s Intellectual Property Office, among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could assert, and have in the past asserted, that our licensors do not have rights to the licensed patents and/or patent applications (such as, in the case of the Caribou License, the UC/Vienna/Charpentier patent family), including inventorship and ownership rights to currently issued or allowable patents. In addition, third parties could assert, and have asserted, that our licensors, or any rights owned by our licensors, such as UC/Vienna/Charpentier, are limited. If such third parties were found to have rights to patents or patent applications covering our licensed technology (such as CRISPR/Cas9 technology), they could assert that we infringe such patents and, as discussed above, we may be required to obtain rights from such parties (e.g., by obtaining a license) or cease our development and commercialization efforts. Even if such third parties are not ultimately successful in their claims, such assertions could result in significant costs or delays to our programs.</w:t>
      </w:r>
    </w:p>
    <w:p>
      <w:pPr>
        <w:pStyle w:val="TextBody"/>
        <w:bidi w:val="0"/>
        <w:spacing w:before="240" w:after="283"/>
        <w:jc w:val="both"/>
        <w:rPr>
          <w:rFonts w:ascii="Times New Roman" w:hAnsi="Times New Roman"/>
          <w:sz w:val="20"/>
        </w:rPr>
      </w:pPr>
      <w:r>
        <w:rPr>
          <w:rFonts w:ascii="Times New Roman" w:hAnsi="Times New Roman"/>
          <w:color w:val="000000"/>
          <w:sz w:val="20"/>
        </w:rPr>
        <w:t>For example, various patent applications within the UC/Vienna/Charpentier patent family and the Broad Institute patent family have been involved in patent interferences and other patent challenges in the U.S. and other jurisdictions, in which the respective owners have alleged, and are alleging, that they invented and/or own intellectual property claiming overlapping aspects of CRISPR/Cas9 systems. Specifically, certain patent applications within the UC/Vienna/Charpentier patent family, licensed to us under the Caribou License, covering certain aspects of CRISPR/Cas9 systems to edit genes in eukaryotic cells, including human cells (collectively, the “UC/Vienna/Charpentier eukaryotic patent family”) have been the subject of patent interferences involving patents and patent applications co-owned by the Broad Institute, Massachusetts Institute of Technology, the President and Fellows of Harvard College and the Rockefeller University (collectively, the “Broad Institute”) that also claim CRISPR/Cas9 systems to edit genes in eukaryotic cells (collectively, the “Broad Institute patent family”). For example, on June 25, 2019, the Patent Trial and Appeal Board (“PTAB”) of the U.S. Patent and Trademark Office (“USPTO”) declared an interference between the UC/Vienna/Charpentier eukaryotic patent family and the Broad Institute patent family to determine which research group first invented the use of the CRISPR/Cas9 technology in eukaryotic cells and, therefore, is entitled to the U.S. patents covering that invention. The interference involved 14</w:t>
      </w:r>
      <w:r>
        <w:rPr>
          <w:rFonts w:ascii="Times New Roman" w:hAnsi="Times New Roman"/>
          <w:color w:val="CC0000"/>
          <w:sz w:val="20"/>
        </w:rPr>
        <w:t xml:space="preserve"> </w:t>
      </w:r>
      <w:r>
        <w:rPr>
          <w:rFonts w:ascii="Times New Roman" w:hAnsi="Times New Roman"/>
          <w:color w:val="000000"/>
          <w:sz w:val="20"/>
        </w:rPr>
        <w:t>allowable patent applications from the UC/Vienna/Charpentier eukaryotic patent family and 13</w:t>
      </w:r>
      <w:r>
        <w:rPr>
          <w:rFonts w:ascii="Times New Roman" w:hAnsi="Times New Roman"/>
          <w:color w:val="CC0000"/>
          <w:sz w:val="20"/>
        </w:rPr>
        <w:t xml:space="preserve"> </w:t>
      </w:r>
      <w:r>
        <w:rPr>
          <w:rFonts w:ascii="Times New Roman" w:hAnsi="Times New Roman"/>
          <w:color w:val="000000"/>
          <w:sz w:val="20"/>
        </w:rPr>
        <w:t>patents and one patent application from the Broad Institute patent family. On February 28, 2022, the PTAB issued a Decision of Priority and Judgment in the interference finding that the Broad Institute patent family has priority over the UC/Vienna/Charpentier patent family with respect to the subject matter of the interference. An appeal and cross-appeal from the interference are pending at the United States Court of Appeals for the Federal Circuit as Case Nos. 22-1594 and 22-1653 (the “Interference Appeal”), and the oral argument occurred on May 7,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on December 14, 2020, the PTAB declared an interference between the same 14 allowable patent applications in the UC/Vienna/Charpentier eukaryotic patent family, and one patent application owned by ToolGen, Inc. And, on June 21, 2021, the PTAB declared another interference between the same 14 allowable patent applications in the UC/Vienna/Charpentier eukaryotic patent family and one patent application owned by Sigma-Aldrich Co. LLC (a subsidiary of Merck KGaA). Because the patent applications involved in these interferences also purport to cover the use of CRISPR/Cas9 for gene editing in eukaryotic cells, the PTAB seeks to determine between the various groups which one invented first and is entitled to the resulting U.S. patents. A decision on motions issued in the ToolGen interference on September 28, 2022, and the priority phase of that interference was suspended until a mandate concludes the Interference Appeal. The Sigma-Aldrich interference is in its motions phase, and an order scheduling oral argument issued on October 24, 2022. In addition, other third parties, such as Vilnius University (whose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patents we have sublicensed under our Caribou Agreement) and Harvard University, filed patent applications claiming CRISPR/Cas9-related inventions around or within a year after the first patent application filed in the UC/Vienna/Charpentier patent family and allege (or may allege) that they invented one or more of the inventions claimed by UC/Vienna/Charpentier before UC/Vienna/Charpentier. If the USPTO deems the scope of any of such third party’s claims sufficiently overlap with the allowable claims from the applicable patent applications in the UC/Vienna/Charpentier patent family, the USPTO could declare other interference proceedings to determine the actual inventor of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either the Broad Institute, ToolGen or Sigma-Aldrich were to succeed in any of their respective interferences, or if other third parties, such as Vilnius University or Harvard University, pursue claims and succeed in such claims, the prevailing party or parties could assert its issued patents against us based on our CRISPR/Cas9-based activities, including research, development, and commercialization of our product candidates or resulting products. In addition, such claims could result in the loss of rights to certain patents and patent applications in the UC/Vienna/Charpentier patent family and, thus, we (and our sublicensees) could lose the benefits that we obtained under our Caribou License to the UC/Vienna/Charpentier patent family. The prevailing party may also assert similar infringement claims against our existing or potential collaborators, clinical investigators, CMOs, CROs, consultants or vendors, and we may be obligated to defend and/or indemnify those parties against such infringement claims. As discussed above, such allegations or litigation may affect our ability to market and sell CRISPR/Cas9-based human therapeutics and may result in significant costs or delays to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many third parties, including the third parties described above, have also filed patent applications and obtained patents covering aspects of the CRISPR/Cas9 technology in other key jurisdictions, including the EU members, the U.K., China and Japan. If these patents are deemed valid and cover our product candidates or related activities, we could be prevented from developing and/or commercializing all or some of our product candidates, or the resulting products, unless we license the relevant intellectual property or avoid 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Defense of any potential infringement claims, regardless of their merit, would involve substantial litigation expense, would be a substantial diversion of management and other employee resources from our business and may impact our reputation. In the event of a successful claim of infringement against us, or a third party that we are obliged to defend and indemnify,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 For example, the BlueAllele litigation described above has required us to divert resources to the defense of BlueAllele’s allegations.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licensed intellectual property from third parties for use in our programs, and termination or modification of any of these licenses could result in the loss of those intellectual property rights, which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patents, know-how and proprietary technology, both our own and licensed from others, including Caribou. Any termination of these licenses, loss by our licensors of the rights they receive from others, diminution of our rights or those of our licensors, or a finding that such intellectual property lacks legal effect, could result in the loss of significant rights and could harm our ability to commercialize any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have and may arise between us and our licensors (e.g., Caribou), our licensors (e.g., Caribou) and their licensors (e.g., UC/Vienna), or us and third parties that co-own intellectual property with our licensors or their licensors, regarding the scope of our rights to intellectual property that is subject to a license agreement, including those relating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rights, if any, granted under the license agreement (e.g, the Caribou License) and other issues related to the terms of the license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and the extent to which our technology, products and processes infringe, or derive from,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our licensor or its licensor in the case of a sublicense (e.g., UC/Vienna as Caribou’s licensor in the case of our Caribou License) had the right to grant the license agreement, or whether they are compliant with their contractual obligations to their respective licensor(s);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third parties are entitled to compensation or equitable relief, such as an injunction, for our use of the intellectual property without their authorization;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right to sublicense patent and other rights to third parties, including those under collaborative development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are complying with our obligations with respect to the use of the licensed technology in relation to our development and commercialization of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involvement in the prosecution, defense and enforcement of the licensed patents and our licensors’ overall patent strategy;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allocation of ownership of inventions and know-how resulting from the joint creation or use of intellectual property by our licensors and by us and our partners;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amounts of royalties, milestones or other payments due under the license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depend, in part, on our licensors to file, prosecute, maintain, defend and enforce patents and patent applications that are material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an Invention Management Agreement, shares these responsibilities with CRISPR Therapeutics AG and, under certain circumstances, ERS Genomics, Ltd., as the designated managers of the intellectual property. For these reasons, UC may be unable or unwilling to prosecute certain patent claims that would be best for our product candidates or enforce its patent rights against infringers of the UC/Vienna/Charpentier patent family.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successful in obtaining or maintaining in-licensed rights to product components and processes or other technology for our product development pipeline.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including competitors. Our ultimate product candidates may also require specific modifications or formulations to work effectively and efficiently. These modifications or formulations may be covered by intellectual property rights held by others, including competitors. We may be unable to acquire or in-license any relevant third party intellectual property rights that we identify as necessary or important to our business operations.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licensing and acquisition of third party intellectual property rights is a competitive practice and companies that may be more established, or have greater resources than we do, may also be pursuing strategies to license or acquire third 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successfully obtain rights to valid third party intellectual property or to maintain the existing intellectual property rights we have, we may have to abandon development of such program and our business and financial condition could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required to pay certain milestones and royalties under our license agreements with third party licensors.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our current and future license agreements and other technology agreements, we may be required to pay milestones and royalties based on our revenues, including sales revenues of our products, utilizing the technologies acquired, licensed or sublicensed from third parties, including Caribou and Rewrite Therapeutics, Inc. (“Rewrite”), and these milestones and royalty payments could adversely affect our ability to research, develop and obtain approval of product candidates, as well as the overall profitability for us of any products that we may seek to commercialize. In order to maintain our intellectual property rights under these agreements, we will need to meet certain specified milestones, subject to certain cure provisions, in the development of our product candidates. Further, our counterparties, including our licensors (or their licensors) or licensees, may dispute the terms, including amounts, that we are required to pay under the respective agreements. If these claims were to result in a material increase in the amounts that we are required to pay to our counterparties, including licensors or their licensors, or in a claim of breach of the applicable agreement, our ability to research, develop and obtain approval of product candidates, or to commercialize products, could be significantly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and other technology agreements. Delay or failure by these third parties could adversely affect the continuation of these agreements with their counterparties, including our licensors or their licensors.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Patents and Trademarks</w:t>
      </w:r>
    </w:p>
    <w:p>
      <w:pPr>
        <w:pStyle w:val="TextBody"/>
        <w:bidi w:val="0"/>
        <w:spacing w:before="120" w:after="283"/>
        <w:jc w:val="both"/>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products or product candidates, or asserting and defending our intellectual property rights that protect our products and technologies.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anticipate that we will file additional patent applications both in the U.S. and in other countries, as appropriate. However, we cannot predict: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and when any patents will issue;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degree and range of protection any issued patents will afford us against competitors, including whether third parties will find ways to invalidate or otherwise circumvent our patents;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others will apply for or obtain patents claiming aspects similar to those covered by our patents and patent applications;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certain governments will appropriate our intellectual property rights and allow competitors to use them;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we will need to initiate litigation or administrative proceedings to assert or defend our patent rights, which may be costly whether we win or lose.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U.S. or foreign countries. Method of use patents protect the use of a product for the specified method, for example a method of treating a certain indication using a product.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U.S. or in other foreign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 patent prosecution process is expensive and time-consuming, and we may not be able to file and prosecute all necessary or desirable patent applications at a reasonable cost, in a timely manner, or in all 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Publications of discoveries in the scientific literature often lag behind the actual discoveries, and patent applications in the U.S.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U.S. and abroad. There is a substantial amount of litigation as well as administrative proceedings for challenging patents, including interference, derivation, reexamination, and other post-grant proceedings before the USPTO and oppositions and other comparable proceedings in foreign jurisdictions, involving patents and other intellectual property rights in the biotechnology and pharmaceutical industries, and we expect this to be true for the CRISPR/Cas9 space as well. As discussed above, a number of third parties have filed oppositions challenging the validity, and seeking the revocation, of several CRISPR/Cas9 genome editing patents granted to UC/Vienna/Charpentier by the European Patent Office (“EPO”). U.S. law also provides for other procedures to challenge patents, including </w:t>
      </w:r>
      <w:r>
        <w:rPr>
          <w:rFonts w:ascii="Times New Roman" w:hAnsi="Times New Roman"/>
          <w:i/>
          <w:color w:val="000000"/>
          <w:sz w:val="20"/>
        </w:rPr>
        <w:t>inter partes</w:t>
      </w:r>
      <w:r>
        <w:rPr>
          <w:rFonts w:ascii="Times New Roman" w:hAnsi="Times New Roman"/>
          <w:color w:val="000000"/>
          <w:sz w:val="20"/>
        </w:rPr>
        <w:t xml:space="preserve"> reviews, post-grant reviews and, in certain circumstances, interference or derivation proceedings, which add uncertainty to the possibility of challenge to our developed or licensed patents and patent applications in the future. See the above risk factor entitled “</w:t>
      </w:r>
      <w:r>
        <w:rPr>
          <w:rFonts w:ascii="Times New Roman" w:hAnsi="Times New Roman"/>
          <w:b/>
          <w:i/>
          <w:color w:val="000000"/>
          <w:sz w:val="20"/>
        </w:rPr>
        <w:t>Third party claims of intellectual property infringement against us, our licensors or our collaborators may prevent or delay our product discovery, research, development and/or commercialization efforts</w:t>
      </w:r>
      <w:r>
        <w:rPr>
          <w:rFonts w:ascii="Times New Roman" w:hAnsi="Times New Roman"/>
          <w:b/>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challenges may result in loss of exclusivity or freedom to operate or in patent claims being narrowed,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Furthermore, even if they are unchallenged, our patents and patent applications may not adequately protect our intellectual property or prevent others from designing their products to avoid being covered by our claims. If the breadth or strength of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U.S. and most other countries are confidential for a period of time after filing, we cannot be certain that we were the first to file any patent application related to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Litigation or other administrative proceedings challenging our intellectual property, including interferences, derivation, reexamination, </w:t>
      </w:r>
      <w:r>
        <w:rPr>
          <w:rFonts w:ascii="Times New Roman" w:hAnsi="Times New Roman"/>
          <w:i/>
          <w:color w:val="000000"/>
          <w:sz w:val="20"/>
        </w:rPr>
        <w:t>inter partes</w:t>
      </w:r>
      <w:r>
        <w:rPr>
          <w:rFonts w:ascii="Times New Roman" w:hAnsi="Times New Roman"/>
          <w:color w:val="000000"/>
          <w:sz w:val="20"/>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potential negative developments could impact the scope, validity, enforceability or commercial value of our patent rights and, as a result, have material adverse effect on our business, financial condition, results of operations or prospects.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 involved in developing our technology and product candidates. Litigation or other legal proceedings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limited intellectual property rights outside the U.S. Filing, prosecuting, maintaining and defending patents on product candidates in all countries throughout the world would be prohibitively expensive, and our intellectual property rights in some countries outside the U.S. can have a different scope and strength than do those in the U.S. In addition, the laws of some foreign countries, such as China, Brazil, Russia, India and South Africa,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U.S. These products may compete with our products and our patents or other intellectual property rights may not be effective or adequate to prevent them from competing. In addition, in jurisdictions outside the U.S., a license may not be enforceable unless all the owners of the intellectual property agree or consent to the license. Further, patients may choose to travel to countries in which we do not have intellectual property rights or which do not enforce these rights to obtain the products or treatment from competitors in such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such as China, Brazil, Russia, India and South Africa, do not favor the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involved in lawsuits to protect or enforce our patents, the patents of our licensors or our licenses, which could be expensive, time-consuming, and unsuccessful.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if a party to our licenses, either a licensee or licensor, were to breach or challenge our rights under the relevant license agreement (or if one of our licensor’s own licensors were to challenge our licensor’s rights), we may have to initiate or participate in a legal proceeding to enforce our rights. Any such legal proceeding could be expensive and time-consuming. In addition, if a court or other tribunal were to rule against us, we could lose key intellectual property and financial rights. Pursuing or defending against these legal claims, regardless of merits, would involve substantial legal expense and would be a substantial diversion of employee resources from our business. Furthermore, because of the substantial amount of discovery required in connection with intellectual property litigation or contractual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the USPTO or comparable foreign authority.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is invalid or unenforceable. In patent litigation in the U.S., defendant counterclaims alleging invalidity or unenforceability are commonplace, and there are numerous grounds upon which a third party can assert invalidity or unenforceability of a patent. Third parties may also raise similar claims before administrative bodies in the U.S. or other jurisdictions,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patent protection on our product candidates. For example, as highlighted in the above risk factor entitled “</w:t>
      </w:r>
      <w:r>
        <w:rPr>
          <w:rFonts w:ascii="Times New Roman" w:hAnsi="Times New Roman"/>
          <w:b/>
          <w:i/>
          <w:color w:val="000000"/>
          <w:sz w:val="20"/>
        </w:rPr>
        <w:t>We could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be unsuccessful in obtaining or maintaining adequate patent protection for one or more of our products or product candidates, or asserting and defending our intellectual property rights that protect our products and technologies</w:t>
      </w:r>
      <w:r>
        <w:rPr>
          <w:rFonts w:ascii="Times New Roman" w:hAnsi="Times New Roman"/>
          <w:color w:val="000000"/>
          <w:sz w:val="20"/>
        </w:rPr>
        <w:t>,” various third parties have filed, and may file in the future, challenges to the validity of patents we own or license (e.g., patents or patent applications in the UC/Vienna/Charpentier patent family). If we or the owners of patents we license (e.g., UC/Vienna/Charpentier) fail in defending the validity of these patents, we (and our sublicensees) may lose the benefit of patents and patent applications we own or license (e.g., patents and patent applications licensed under the Caribou License), as discussed above. Such an outcome could have a material adverse effect on our business in Europe.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future, potential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Potential Disclosure of Confidential Information</w:t>
      </w:r>
    </w:p>
    <w:p>
      <w:pPr>
        <w:pStyle w:val="TextBody"/>
        <w:bidi w:val="0"/>
        <w:spacing w:before="120" w:after="283"/>
        <w:jc w:val="both"/>
        <w:rPr>
          <w:rFonts w:ascii="Times New Roman" w:hAnsi="Times New Roman"/>
          <w:sz w:val="20"/>
        </w:rPr>
      </w:pPr>
      <w:r>
        <w:rPr>
          <w:rFonts w:ascii="Times New Roman" w:hAnsi="Times New Roman"/>
          <w:b/>
          <w:i/>
          <w:color w:val="000000"/>
          <w:sz w:val="20"/>
        </w:rPr>
        <w:t>Confidentiality agreements with employees and third parties may not prevent unauthorized disclosure of trade secrets and other proprietary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seek to rely on trade secret protection and confidentiality agreements to protect our proprietary and confidential information. We also utilize proprietary processes for which it would be difficult to enforce patents. In addition, other elements of our product discovery and development processes involve proprietary know-how, information, or technology that is not covered by patents. Trade secrets, however, may be difficult to protect. We seek to protect our proprietary processes, in part, by entering into confidentiality agreements with our employees, consultants, outside scientific advisors, contractors (including CMOs and CROs), and collaborators, and we also rely on federal and state laws requiring our directors, employees, consultants, contractors (including CMOs and CROs), and collaborators to protect our proprietary information.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results, and financial condition. Our trade secrets and other confidential information of ours may also be exposed through cybersecurity attacks, ransomware attacks, and other hacking attempts directed at our information technology systems and those of our employees, consultants, outside scientific advisors, contractors, vendors and collaborators. For more information, see the risk factor section entitled “</w:t>
      </w:r>
      <w:r>
        <w:rPr>
          <w:rFonts w:ascii="Times New Roman" w:hAnsi="Times New Roman"/>
          <w:color w:val="000000"/>
          <w:sz w:val="20"/>
          <w:u w:val="single"/>
        </w:rPr>
        <w:t>Risks Related to Data and Privacy.</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our employees, directors, consultants, or independent contractors have wrongfully used or disclosed confidential information of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directors, consultants, or independent contractors have inadvertently or otherwise used or disclosed confidential information of these third parties or our employees’ former employers. Litigation may be necessary to defend against these claims, which could result in money damages or a judicial order prohibiting the use of certain intellectual property. Even if we are successful in defending against these claims, litigation could result in substantial cost and be a distraction to our management and employees.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Past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never generated any revenue from product sales and our ability to generate revenue from product sales and become profitable depends significantly on our success in a number of areas.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products approved for commercial sale, have not generated any revenue from product sales, and do not anticipate generating any revenue from product sales until we have received regulatory approval for the commercial sale of one of our product candidates. Our ability to generate revenue, and achieve and retain profitability, depends significantly on our success in many areas,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approvals and marketing authorizations for our lead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market acceptance of our product candidates as viable treatment options;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and commercializing product candidates for which we obtain regulatory approvals and marketing authorizations, either directly or with a collaborator or distributor;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accurately assessing the size and addressability of potential patient populations;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and know-how;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avoiding infringement of or obtaining licenses to any valid intellectual property owned or controlled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or which may be necessary for us to develop, manufacture or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good relationships with our collaborators and licensors;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a sustainable and scalable manufacturing process for product candidates, including establishing and maintaining commercially viable supply relationships with third parties, such as CMOs, and potentially establishing our own manufacturing capabilities and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completing research, preclinical and clinical development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resources in developing commercial manufacturing and operational infrastructure prior to clinical evidence of safety and efficacy for a given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selecting commercially viable product candidates and effective delivery methods.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one or more product candidates that we discover and develop are approved for commercial sale, we anticipate incurring significant costs associated with commercializing any approved product candidate and the timing of such costs may be out of our control. If we are not able to generate revenue from the sale of any approved products, we may never become profitable.</w:t>
      </w:r>
    </w:p>
    <w:p>
      <w:pPr>
        <w:pStyle w:val="TextBody"/>
        <w:bidi w:val="0"/>
        <w:spacing w:before="240" w:after="283"/>
        <w:jc w:val="both"/>
        <w:rPr>
          <w:rFonts w:ascii="Times New Roman" w:hAnsi="Times New Roman"/>
          <w:sz w:val="20"/>
        </w:rPr>
      </w:pPr>
      <w:r>
        <w:rPr>
          <w:rFonts w:ascii="Times New Roman" w:hAnsi="Times New Roman"/>
          <w:b/>
          <w:i/>
          <w:color w:val="000000"/>
          <w:sz w:val="20"/>
        </w:rPr>
        <w:t>Our operating history may make difficult the evaluation of our business’s success to date and assessment of our future viability.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company. We were founded and commenced operations in mid-2014. All of our product candidates are still in preclinical development or clinical trials. We have not yet demonstrated our ability to successfully complete any clinical trials, including large-scale, pivotal clinical trials, obtain marketing approvals, manufacture clinical and commercial scale therapeutics, or arrange for a third party to do so on our behalf, or conduct sales and marketing activities necessary for successful commercialization.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before we may commercialize any product.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operating history, particularly in light of the rapidly evolving genome editing field, may make it difficult to evaluate our current business and predict our future performance. Our relatively short history as an operating company makes any assessment of our future success or viability subject to significant uncertainty. We will encounter risks and difficulties frequently experienced by clinical-stage companies in rapidly evolving fields. If we do not address these risks successfully, our business will suffer.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net losses in each period since our inception, anticipate that we will continue to incur net losses in the future and may never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profitable and have incurred losses in each period since our inception. Our net loss was $114.3 million for the three months ended March 31, 2025. As of March 31, 2025, we had an accumulated deficit of $2,291.7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We expect to finance our operations through a combination of collaboration revenue, equity or debt financings or other sources, which may include collaborations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need to raise substantial additional funding to fund our operations. If we fail to obtain additional financing, we may be unable to complete the development and commercialization of any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have required substantial amounts of cash since inception, and we expect to spend substantial amounts of our financial resources on our discovery programs going forward and future development efforts. Before obtaining marketing approval from regulatory authorities for the sale of any product candidate, we must complete preclinical development, manufacture (or have manufactured) product candidates and components, and then conduct extensive clinical trials to demonstrate the safety and efficacy of any of our future product candidates in humans. Because preclinical and clinical testing is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expensive and can take many years to complete, we may require additional funding to complete these undertakings. Further,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 Our future capital requirements will depend on and could increase significantly as a result of many factors, including the scope, progress, results and costs of drug discovery, preclinical development, laboratory testing and clinical trials for our current or future product candidates, including additional expenses attributable to adjusting our development plans (including any supply related matters).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for the further development and commercialization of any product candidates and may need to raise additional funds sooner if we choose to expand more rapidly than we presently anticipate or due to other unanticipated factors. Disruptions in the financial markets in general have made equity and debt financing more difficult to obtain and may have a material adverse effect on our ability to meet our fundraising needs.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manufacture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above events could significantly harm our business, prospects, financial condition and results of operations and cause the price of our common stock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Raising additional capital may cause dilution to our stockholders and restrict our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In addition, the valuation of public companies may require selling equity at lower prices to ensure appropriate capitalization.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national or global economic conditions or political developments could adversely affect our business, financial condition or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results of operations could be adversely affected by general conditions in the national or global economy and financial markets. For example, governmental statements, actions or policies, political unrest and global financial crises can cause extreme volatility and disruptions in the capital and credit markets. A severe or prolonged economic downturn, political unrest or additional global financial crises,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has been impacted by geopolitical tensions. The U.S. and other governments have imposed, and propose to impose additional, export controls and tariffs on certain products, and financial and economic sanctions on certain industry sectors and parties. These geopolitical tensions could result in, among other things, cyber-attacks, supply chain disruptions, higher energy and other commodity costs, lower consumer demand, and changes to foreign exchange rates and financial markets, and tariffs and trade restrictions may result in increased production costs and product pricing, further supply chain disruptions, limited access to end markets, lower profitability, and uncertainty related to planning long-term investments and strategies, and may have other competitive effects. Any of the foregoing could have a material adverse effect on our business, financial condition, and results of operations.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Supply</w:t>
      </w:r>
    </w:p>
    <w:p>
      <w:pPr>
        <w:pStyle w:val="TextBody"/>
        <w:bidi w:val="0"/>
        <w:spacing w:before="120" w:after="283"/>
        <w:jc w:val="both"/>
        <w:rPr>
          <w:rFonts w:ascii="Times New Roman" w:hAnsi="Times New Roman"/>
          <w:sz w:val="20"/>
        </w:rPr>
      </w:pPr>
      <w:r>
        <w:rPr>
          <w:rFonts w:ascii="Times New Roman" w:hAnsi="Times New Roman"/>
          <w:b/>
          <w:color w:val="000000"/>
          <w:sz w:val="20"/>
        </w:rPr>
        <w:t xml:space="preserve">In vivo </w:t>
      </w:r>
      <w:r>
        <w:rPr>
          <w:rFonts w:ascii="Times New Roman" w:hAnsi="Times New Roman"/>
          <w:b/>
          <w:i/>
          <w:color w:val="000000"/>
          <w:sz w:val="20"/>
        </w:rPr>
        <w:t xml:space="preserve">genome editing products and </w:t>
      </w:r>
      <w:r>
        <w:rPr>
          <w:rFonts w:ascii="Times New Roman" w:hAnsi="Times New Roman"/>
          <w:b/>
          <w:color w:val="000000"/>
          <w:sz w:val="20"/>
        </w:rPr>
        <w:t xml:space="preserve">ex vivo </w:t>
      </w:r>
      <w:r>
        <w:rPr>
          <w:rFonts w:ascii="Times New Roman" w:hAnsi="Times New Roman"/>
          <w:b/>
          <w:i/>
          <w:color w:val="000000"/>
          <w:sz w:val="20"/>
        </w:rPr>
        <w:t>engineered cell therapies based on CRISPR/Cas9 genome editing technology are novel, complex and difficult to manufacture.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manufacturing processes used to produce CRISPR/Cas9-based </w:t>
      </w:r>
      <w:r>
        <w:rPr>
          <w:rFonts w:ascii="Times New Roman" w:hAnsi="Times New Roman"/>
          <w:i/>
          <w:color w:val="000000"/>
          <w:sz w:val="20"/>
        </w:rPr>
        <w:t xml:space="preserve">in vivo </w:t>
      </w:r>
      <w:r>
        <w:rPr>
          <w:rFonts w:ascii="Times New Roman" w:hAnsi="Times New Roman"/>
          <w:color w:val="000000"/>
          <w:sz w:val="20"/>
        </w:rPr>
        <w:t xml:space="preserve">genome editing product candidates and </w:t>
      </w:r>
      <w:r>
        <w:rPr>
          <w:rFonts w:ascii="Times New Roman" w:hAnsi="Times New Roman"/>
          <w:i/>
          <w:color w:val="000000"/>
          <w:sz w:val="20"/>
        </w:rPr>
        <w:t xml:space="preserve">ex vivo </w:t>
      </w:r>
      <w:r>
        <w:rPr>
          <w:rFonts w:ascii="Times New Roman" w:hAnsi="Times New Roman"/>
          <w:color w:val="000000"/>
          <w:sz w:val="20"/>
        </w:rPr>
        <w:t xml:space="preserve">engineered cell therapy product candidates are novel and complex. In addition, our manufacturing processes may require components that are difficult to obtain or manufacture at the necessary quantities and in accordance with regulatory requirements. Several factors could cause production interruptions, including equipment malfunctions; facility unavailability or contamination; raw material cost, shortages or contamination; natural disasters, such as pandemics or other outbreaks or similar public health crises; disruption in utility services; human error; insufficient personnel; inability to meet legal or regulatory requirements; or disruptions in the operations of our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our product candidates are regulated as biologics, their processing steps will be more complex than those of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For this reason, we will employ multiple steps to control the manufacturing process to ensure that the process results in product candidates that meet their specifications, but complications at any one step could adversely impact our manufacturing of products. Further, we may encounter problems achieving adequate quantities and quality of clinical (or, if approved, commercial) grade materials that meet the FDA or other relevant regulatory agency’s applicable standards or our specifications with consistent and acceptable production yields and costs. Manufacturing process irregularities, even minor deviations from the normal process, could result in product defects or manufacturing issues that cause lot failures, product recalls, product liability claims and litigation, insufficient inventory or production interruption. In addition, product manufacturing and supply could be delayed if the FDA and other regulatory authorities require us to submit lot samples, testing results and protocols, or if they require that we not distribute a lot until they authorize the product’s release. </w:t>
      </w:r>
    </w:p>
    <w:p>
      <w:pPr>
        <w:pStyle w:val="TextBody"/>
        <w:bidi w:val="0"/>
        <w:spacing w:before="240" w:after="283"/>
        <w:jc w:val="both"/>
        <w:rPr>
          <w:rFonts w:ascii="Times New Roman" w:hAnsi="Times New Roman"/>
          <w:sz w:val="20"/>
        </w:rPr>
      </w:pPr>
      <w:r>
        <w:rPr>
          <w:rFonts w:ascii="Times New Roman" w:hAnsi="Times New Roman"/>
          <w:b/>
          <w:i/>
          <w:color w:val="000000"/>
          <w:sz w:val="20"/>
        </w:rPr>
        <w:t>We could experience manufacturing problems that result in delays in the development, approval or commercialization of our product candidates or otherwise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product candidates may require components that are unavailable or difficult to acquire or manufacture at the necessary scale and in compliance with regulatory requirements to support our clinical trials or, if approved, commercial efforts. We expect to continue to rely on third party CMOs to manufacture these components and the final product candidates for the foreseeable future. We may not have full control of these CMOs, and they may prioritize other customers or be unable to provide us with enough manufacturing capacity to meet our objectives. Further, we may rely on CMOs outside the U.S. for certain components of our product candidates and may be subject to importation regulations that may affect our ability to manufacture or increase the cost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may encounter problems developing our own manufacturing capabilities, including hiring and retaining the experienced scientific, engineering, quality and manufacturing personnel needed to operate or supervise the necessary manufacturing processes. These issues could result in delays in production or difficulties in maintaining compliance with applicable regulatory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manufacturing and supply issues or delays could restrict our ability to meet clinical or market demand for our product candidates or products and be costly to us and otherwise harm our business, financial condition, results of operations and prospects. Further, any problems in manufacturing processes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Obtaining Regulatory Approval</w:t>
      </w:r>
    </w:p>
    <w:p>
      <w:pPr>
        <w:pStyle w:val="TextBody"/>
        <w:bidi w:val="0"/>
        <w:spacing w:before="120" w:after="283"/>
        <w:jc w:val="both"/>
        <w:rPr>
          <w:rFonts w:ascii="Times New Roman" w:hAnsi="Times New Roman"/>
          <w:sz w:val="20"/>
        </w:rPr>
      </w:pPr>
      <w:r>
        <w:rPr>
          <w:rFonts w:ascii="Times New Roman" w:hAnsi="Times New Roman"/>
          <w:b/>
          <w:i/>
          <w:color w:val="000000"/>
          <w:sz w:val="20"/>
        </w:rPr>
        <w:t>While the regulatory framework exists for approval of gene therapy products, including genome editing products, the limited precedent for genome editing products make the regulatory approval process potentially more unpredictable and we may experience significant delays in the clinical development and regulatory approval, if any,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testing, manufacturing, labeling, approval, selling, import, export, marketing and distribution of drug products, including genome editing therapeutics and engineered cell therapies, are subject to extensive regulation by the FDA in the U.S. and other regulatory authorities in other jurisdictions. For example, we are not permitted to market any drug or biological product,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including </w:t>
      </w:r>
      <w:r>
        <w:rPr>
          <w:rFonts w:ascii="Times New Roman" w:hAnsi="Times New Roman"/>
          <w:i/>
          <w:color w:val="000000"/>
          <w:sz w:val="20"/>
        </w:rPr>
        <w:t xml:space="preserve">in vivo </w:t>
      </w:r>
      <w:r>
        <w:rPr>
          <w:rFonts w:ascii="Times New Roman" w:hAnsi="Times New Roman"/>
          <w:color w:val="000000"/>
          <w:sz w:val="20"/>
        </w:rPr>
        <w:t xml:space="preserve">products or engineered cell therapies, until we receive regulatory approval from the relevant regulatory agency, such as the FDA in the U.S. or European Commission in the EU. We expect the novel nature of our product candidates to create challenges or raise questions from regulatory agencies in obtaining regulatory approval. For example, in the U.S., the FDA has not approved any </w:t>
      </w:r>
      <w:r>
        <w:rPr>
          <w:rFonts w:ascii="Times New Roman" w:hAnsi="Times New Roman"/>
          <w:i/>
          <w:color w:val="000000"/>
          <w:sz w:val="20"/>
        </w:rPr>
        <w:t xml:space="preserve">in vivo </w:t>
      </w:r>
      <w:r>
        <w:rPr>
          <w:rFonts w:ascii="Times New Roman" w:hAnsi="Times New Roman"/>
          <w:color w:val="000000"/>
          <w:sz w:val="20"/>
        </w:rPr>
        <w:t xml:space="preserve">gene editing-based therapeutic and has only approved one </w:t>
      </w:r>
      <w:r>
        <w:rPr>
          <w:rFonts w:ascii="Times New Roman" w:hAnsi="Times New Roman"/>
          <w:i/>
          <w:color w:val="000000"/>
          <w:sz w:val="20"/>
        </w:rPr>
        <w:t>ex vivo</w:t>
      </w:r>
      <w:r>
        <w:rPr>
          <w:rFonts w:ascii="Times New Roman" w:hAnsi="Times New Roman"/>
          <w:color w:val="000000"/>
          <w:sz w:val="20"/>
        </w:rPr>
        <w:t xml:space="preserve"> CRISPR/Cas9 genome editing therapy for human therapeutic use. The FDA may also require a panel of experts, referred to as an Advisory Committee, to deliberate on the adequacy of the safety and efficacy data to support approval. The Advisory Committee’s opinion, although not binding, may significantly impact our ability to obtain approval of our product candidates. Moreover, while we are not aware of any specific genetic or biomarker tests for which regulatory approval would be necessary to advance any of our product candidates to clinical trials or commercialization, regulatory agencies could require the development and approval of such tests. Accordingly, the regulatory approval pathway for such product candidates may be uncertain, complex, expensive and lengthy, as well as different in each jurisdiction, and approval may not be obtained in any, some or all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non-regulatory entities may impact the regulatory agencies’ and ethics committees’ evaluation and approval decision regarding our product candidates. For example, the World Health Organization (“WHO”) has established or recommended standards and registries for research using genome editing technologies. We cannot predict the impact of the WHO’s current and future recommendations, or any policies or actions that ethics committees or regulatory agencies may take in response to such recommendations, on our research, clinical and business plans and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is a significant factor in the timing of clinical trials and is affected by many factors, including willingness of physicians to use an experimental therapy, the availability of existing treatments, the trial’s geographic locations and the number of patients in each geographic location. In addition, our ability to enroll and dose patients may be delayed by the relevant regulatory authority, as well as the IRB or another ethics committee (whether local or national). For example, as set forth in the National Institutes of Health (“NIH”) Guidelines for Research Involving Recombinant or Synthetic Nucleic Acid Molecules (“NIH Guidelines”), gene therapy clinical trials are also subject to review and oversight by an institutional biosafety committee (“IBC”), a local institutional committee that reviews and oversees research utilizing recombinant or synthetic nucleic acid molecules at that institution. Before a clinical trial can begin at any institution, that institution’s IRB and its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Further, a clinical trial may be suspended or terminated by us, the relevant IRBs or ethics committees of the trial, or the FDA or other regulatory authorities, or upon a recommendation of the trial’s DMC, due to a number of factors, including failure to conduct the clinical trial in accordance with regulatory requirements or our clinical protocols,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product candidates, the commercial prospects for such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conducting and may in the future conduct other clinical trials for our product candidates outside the U.S., and the FDA and comparable foreign regulatory authorities may not accept data from such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currently conducting our Phase 3 clinical trials of nex-z and NTLA-2002, and may in the future conduct clinical trials for our other product candidates outside the U.S. The acceptance of data from clinical trials conducted outside the U.S. or another jurisdiction by the FDA or comparable foreign regulatory authority may be subject to certain conditions or may not be accepted at all. The FDA will generally not consider the data from a foreign clinical trial not conducted under an IND unless (i) the trial was well-designed and well-conducted in accordance with good clinical practice (“GCP”) requirements, including requirements for the design, conduct, performance, monitoring, auditing, recording, analysis, and reporting of clinical trials in a way that provides assurance that the data and reported results are credible and accurate and that the rights, safety, and well-being of trial subjects are protected, and (ii) the FDA is able to validate the data from the trial through an onsite inspection, if necessary.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trials, which could be costly and time-consuming, and which may result in product candidates that we may develop not receiving approval for commercialization in the applicable jurisdiction.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received orphan drug designation for nex-z and NTLA-2002 and may in the future seek orphan drug designation for some of our other product candidates, but we may be unable to obtain such designations or to maintain the benefits associated with orphan drug status, including market exclusivity, which may cause our revenue, if any, to be reduced.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in some jurisdictions, including the U.S. and Europe, may in response to a request from the sponsor designate products for relatively small patient populations as orphan drugs. Under the Orphan Drug Act, the FDA may grant orphan drug designation to a product intended to treat a rare disease or condition, defined as a disease or condition with a patient population of fewer than 200,000 in the U.S., or a patient population of 200,000 or more in the U.S. when there is no reasonable expectation that the cost of developing and making available the product in the U.S. will be recovered from sales in the U.S. for that product. Orphan drug designation must be requested before submitting a BLA. In the U.S., orphan drug designation entitles a party to financial incentives such as opportunities for grant funding towards clinical trial costs, tax advantages and user-fee waivers. After the FDA grants orphan drug designation, the generic identity of the product and its potential orphan use are disclosed publicly by the FDA.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designation does not convey any advantage in, or shorten the duration of, the regulatory review and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if a product with an orphan drug designation subsequently receives the first marketing approval for the indication for which it has such designation, the product is entitled to a period of marketing exclusivity, which precludes the approval of another marketing application for the same drug for the same indication for that time period. The applicable period is seven years in the U.S. and ten years in the EU (which can be extended to 12 years if the sponsor complies with an agreed-upon Pediatric Investigation Plan). Orphan drug exclusivity may be lost if the FDA or the EMA determines that the request for designation was materially defective or if the manufacturer is unable to assure sufficient quantity of the drug to meet the needs of patients with the rare disease or condition. In addition, the FDA can subsequently approve a marketing application for the same drug, or a product with the same active moiety, for treatment of the same disease or condition if it concludes that the later drug is clinically superior in that it is shown to be safer, more effective or makes a major contribution to patient care. Similarly, the European Commission (“EC”) may grant a marketing authorization to a similar medicinal product for the same indication as an authorized orphan product at any time if it is established that the second product, although similar, is safer, more effective or otherwise clinically superior to the authorized product. The FDA and EC also can approve a different drug for the same orphan indication, or the same drug for a different indication, during the orphan exclusivity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received orphan drug designation from the FDA for nex-z for the treatment of ATTR amyloidosis and from the FDA and EC for NTLA-2002 for the treatment of HAE. We may seek orphan drug designation for some of our other product candidates in orphan indications in which there is a medically plausible basis for the use of these product candidates. Even where we obtain orphan drug designation, exclusive marketing rights in the U.S.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reevaluate the Orphan Drug Act and its regulations and policies. We do not know if, when, or how the FDA may change the orphan drug regulations and policies in the future, and it is uncertain how any changes might affect our business. In addition, proposed amendments to EU regulations regarding orphan medicines are under consideration that, if implemented, could reduce the current 10-year marketing exclusivity period in the EU for certain orphan medicines. Depending on what changes the FDA and the EC may make to their orphan drug regulations and policies, our business could be adversely impacted.</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received regenerative medicine advanced therapy (“RMAT”) designation by the FDA for nex-z for the treatment of ATTRv-PN and for NTLA-2002 for the treatment of HAE, and may in the future seek such designation for some of our other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product candidates, but such designation may not actually lead to a faster development or regulatory review or approval process and we may be unable to obtain or maintain the benefits associated with such designation.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received the RMAT designation from the FDA for nex-z for the treatment of ATTRv-PN and NTLA-2002 for the treatment of HAE. A product candidate is eligible for RMAT designation if: (1) it is a cell therapy, therapeutic tissue engineering product, human cell or tissue product, or a combination product using any such therapies or products; (2) it is intended to treat, modify, reverse, or cure a serious or life-threatening disease or condition; and (3) there is preliminary clinical evidence that indicates that the product candidate has the potential to address unmet medical needs for such disease or condition. This program is intended to facilitate efficient development and expedite review of RMATs. A BLA for a product candidate with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product candidate that has RMAT designation and is subsequently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RMAT designation, the FDA may disagree and instead determine not to grant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qualifies for RMAT designation, the FDA may later decide that the product candidate no longer meets the conditions for qualification.</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product candidates in other jurisdictions.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approves a product candidate, comparable regulatory authorities in foreign jurisdictions must also authorize the marketing and sale of the product candidate in those countries. Approval procedures vary among jurisdictions and can involve requirements and review periods different from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sold in that jurisdiction. In some cases, the price that we are allowed to charge for our products is also subject to approval or to other legal restrictions.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Obtaining foreign regulatory approvals and compliance with foreign regulatory requirements could result in significant delays, difficulties and costs for us and could delay or prevent the introduction of our products in certain countries. If we fail to comply with the relevant regulatory requirements or to receive applicable marketing approvals, our target markets will be reduced and our ability to realize the full market potential of our product candidates will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Existing regulatory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gave deference to regulatory agencies’ statutory interpretations in litigation against federal government agencies, such as the FDA and Centers for Medicare &amp; Medicaid Services (“CMS”), agencies within the U.S. Department of Health and Human Services (“HHS”),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In addition, the leadership, personnel, policies, and/or priorities of government departments and agencies responsible for establishing and operating programs and regulations related to pharmaceutical products, such as HHS, FDA and CMS, may change. New leadership, personnel, policies, priorities, and/or regulations may affect our industry and/or products. For example, FDA or CMS policies and practices concerning gene and cell therapies may change in a way that disparately impacts our product candidates, such as reducing the staff of these agencies or not retaining experienced staff at these agencies who have expertise relevant to our industry and/or products. If we are slow or unable to adapt to changes in existing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Ongoing Regulatory Obligations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our product candidates are approved, they may be subject to ongoing regulatory requirements for manufacturing, labeling, packaging, distribution, storage, advertising, promotion, sampling, record-keeping, and submission of safety and efficacy data, and other post-market information and potential obligations (such as post-marketing studies), including both federal and state requirements in the U.S. and requirements of comparable foreign regulatory authorities. In addition, we will be subject to continued compliance with current good manufacturing practice (“cGMP”) and GCP, and in certain cases, current good tissue practice (“cGTP”) requirements for any clinical trials that we conduct post-approval.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as applicable, including ensuring that quality control and manufacturing procedures conform to cGMP and, in certain cases, cGTP requirements, and applicable product tracking and tracing requirements. As such, we and our CMOs will be subject to continual review and inspections to assess compliance with cGMP and adherence to commitments made in any BLA, other marketing applications,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For example, the FDA or other regulatory agencies may also require a REMS or similar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their respective legal or regulatory requirements including submissions of safety and other post-marketing information and reports and registration.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or other regulatory agencies may seek to impose consent decrees, withdraw approval or prohibit the export or import of a product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 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clinical trials or the market, or voluntary or mandatory 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delays and supply disruptions until issues identified by regulatory inspections are remediated;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by the FDA or the relevant regulatory agency to approve pending applications or supplements to approved applications filed by us or suspension or revocation of license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U.S. market, and the relevant foreign regulatory agencies do the same in their respective jurisdictions. The FDA and other agencies actively enforce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laws and regulations prohibiting the promotion of off-label uses and a company that is found to have improperly promoted off-label uses may be subject to significant liability.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FDA’s policies may change and additional government regulations may be enacted that could prevent, limit or delay regulatory approval of our product candidates. In addition, as discussed above,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clinical investigators, CMOs, CROs, consultants, collaborators, commercial partners and vendors may engage in misconduct or other improper activities, including noncompliance with regulatory standards and requirements, which could have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non-compliance, fraud, misconduct or other illegal activity by our employees, independent contractors, clinical investigators, CMOs, CROs, consultants, collaborators,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regulatory bodies in the U.S. or outside the U.S.; comply with manufacturing standards; comply with federal and state data privacy, security, fraud and abuse and other healthcare laws and regulations in the U.S. and similar foreign privacy or fraudulent misconduct laws; or report financial information or data accurately; or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many of our existing or potential collaborators, clinical investigators, CMOs, CROs, consultants or vendors are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as amended by the Health Information Technology for Economic and Clinical Health Act of 2009 (“HITECH”), or by comparable laws in other jurisdictions. Depending on the facts and circumstances, we could be subject to civil, criminal, and administrative penalties if we knowingly obtain, use, or disclose individually identifiable health information maintained by a covered entity in a manner that is not authorized or permitted by laws or regulations.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U.S., both state and federal,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existing or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collaborators, clinical investigators, CMOs, CROs, consultants or vendors, fail to comply with environmental, health and safety, and laboratory animal welfare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many of our existing or potential collaborators, clinical investigators, CMOs, CROs, consultants or vendors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and those of our collaborators, clinical investigators, CMOs, CROs, consultants or vendors, acting on our behalf, may involve research using research animals and the use of hazardous and flammable materials, including chemicals and biological materials. Our operations, and those of our collaborators, clinical investigators, CMOs, CROs, consultants or vendors, acting on our behalf, also may produce hazardous waste products. We generally anticipate contracting with third parties for the disposal of these materials and waste.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maintain insurance for environmental liability or toxic tort claims that may be asserted against us in connection with our storage or disposal of biological, hazardous or radioactive materials.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labor and employment laws and regulations could subject us to legal liability and costs, including fines or penalties, as well as reputational damage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federal, state and local laws and regulations relating to the recruiting, hiring, compensation and treatment of employees and contractors. These laws and regulations cover financial compensation (including wage and hour standards), benefits (including insurance and 401(k) plans), discrimination, workplace safety and health, and workers’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Commonwealth of Massachusetts, where most of our employees are based, also has laws that expand on federal laws or create additional rights for employees or obligations for employers. For example, on July 1, 2018, the Massachusetts Equal Pay Act went into effect, which added protections employers must comply with regarding pay equity for “comparable work.” In addition, on July 31, 2024, Massachusetts passed the Frances Perkins Workplace Equity Act, requiring disclosure of the pay range for a particular job under certain circumstances, including job postings, promotions, or when an employee requests. There is currently uncertainty regarding the exact scope of these new legal limits and such uncertainty may remain for the foreseeable future. We may face increased employment and legal costs to ensure we are complying with these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the Massachusetts non-compete law limits the terms under which employers can enter into non-competition agreements with employees. Further, other jurisdictions in which our employees may work limit enforcement of non-competition agreements. Additionally, in California non-competition agreements with employees are generally unenforceable after termination of employment and Illinois contains strict laws affecting the enforcement of non-competition agreements. These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non-compete laws may negatively impact our ability to prevent employees from working with direct or indirect competitors in the future and may affect our ability to retain key talent in a competitive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failure to comply with these and other related laws could expose us to civil and, in some cases, criminal liability, including fines and penalties. Further, government or employee claims that we have violated any of these laws, even if ultimately disproven, could result in increased expense and management distraction, as well as have an adverse reputational impact on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Inadequate funding for, substantial changes in leadership, personnel, policies or priorities of, or other disruptions at the FDA and other government agencies in or outside the U.S. could hinder their ability to hire, retain, or deploy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and other similar regulatory agencies to review and approve new products can be affected by a variety of factors, including government budget and funding levels, ability to hire and retain key personnel and authorization to accept the payment of user fees, reallocation of resources to address unique or new healthcare issues (or other future public health concerns), and statutory, regulatory, and policy changes. For example, in the first several months of 2025, the U.S. government has, among other measures, issued executive orders and undertaken reductions in force that have adversely impacted FDA staffing and resources. In addition, government funding of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prolonged government shutdown in the U.S. or other jurisdictions where we plan to conduct our clinical trials, manufacturing, or other operations, or substantial changes in leadership, personnel, policies or priorities could significantly impact the ability of the relevant agency, such as the FDA, to timely review and process our regulatory submissions, which could have a material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Our Reliance on Collaboration Partners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technological advancements and any potential for revenue may be derived in part from our collaborations, including, for example, with Regeneron, and if the collaboration or co-development agreements related to a material collaboration were to be terminated or materially altered in an adverse manner,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strategic collaborations to advance our technology and co-develop products that we plan to co-commercialize. If our collaboration partner in a material collaboration fails to develop, obtain regulatory approval for or ultimately commercialize any product candidate from the development programs governed by the respective collaboration agreements, including, e.g., a co-development or co-commercialization agreement, or breaches or terminates our collaboration with it, our business, financial condition, results of operations and prospects could be harmed. In addition, any material alteration, in an adverse manner, of any material collaboration agreement, or dispute or litigation proceedings we may have related to a material collaboration in the future could delay development programs, create uncertainty as to ownership of or access to intellectual property rights, distract management from other business activities and generate substantial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described within Note 7, “Collaborations and Other Arrangements” of this Quarterly Report on Form 10-Q, we have entered into co-development and co-promotion arrangements with Regeneron. Regeneron may change its strategic focus or pursue alternative technologies in a manner that results in reduced, delayed or no revenue to us under these arrangements. For example, Regeneron has a variety of marketed products and product candidates either by itself or with other companies, including some of our competitors. In addition, the corporate objectives of our collaborators, such as Regeneron, may not be consistent with our best interests. Regeneron may change its position regarding its participation and funding of our joint activities, which may impact our ability to successfully pursue those programs.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existing and future collaborations will be important to our business. If we are unable to maintain any of these collaborations, or if these collaborations are not successful, our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limited capabilities for product development and do not yet have any capability for sales, marketing or distribution. Accordingly, we have entered, and plan to enter, into collaborations with other companies, including our therapeutic-focused collaboration agreements with Regeneron, which we believe can provide such capabilities. For example, in October 2023, we announced an expanded research collaboration with Regeneron to develop therapies for the treatment of neurological and muscular diseases. These current and future therapeutic-focused collaborations could provide us with important technologies and/or funding for our programs and technology. Our existing and future therapeutic collaborations may have a number of risks, including that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significant discretion in determining the efforts and resources that they will apply;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perform their obligations as expected;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the amounts of payments owed;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pursue development and commercialization of any product candidates that achieve regulatory approval or may elect not to continue or renew development or commercialization programs or license arrangements based on clinical trial results, changes in their strategic focus or available funding, or external factors, such as a strategic transaction that may divert resources or create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delay, insufficiently fund, stop, initiate new or repeat clinical trials, reformulate a product candidate for clinical testing, or abandon a product candidate;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develop independently, or with third parties, products that compete directly or indirectly with our products and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view product candidates discovered in our collaborations as competitive with their own product candidates or products, which may cause collaborators to cease to devote resources to the development or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dispute ownership or rights in jointly developed technologies or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fail to comply with applicable legal and regulatory requirements regarding the development, manufacture, sale, distribution or marketing of a product candidate or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sales, marketing, manufacturing and distribution rights to our product candidates may not commit sufficient resources to the product’s sale, marketing, manufacturing and distribution;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disagree with us about material issues, including proprietary rights, contract interpretation, payment obligations or the preferred course of discovery, development, sales or marketing, which might cause delays or terminations of the research, development or commercialization of product candidates, lead to additional and burdensome responsibilities for us with respect to product candidates, or result in litigation or arbitration, any of which would be time-consuming and expensive;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properly maintain or defend their or our relevant intellectual property rights or may use our proprietary information or sublicensed intellectual property rights in such a way as to invite litigation that could jeopardize or invalidate our intellectual property or proprietary information or expose us to potential litigation and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infringe the intellectual property rights of third parties, which may expose us to litigation and potential liability;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could become involved in a business combination or cessation that could cause them to deemphasize or terminate the development or commercialization of any product candidate licensed to it by us;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terminate our collaborations, which could require us to raise additional capital to develop or commercialize the applicable product candidates, or lose access to the collaborator’s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therapeutic collaborations do not result in the successful discovery, development and commercialization of products or if a collaborator terminates its agreement with us, we may not receive any future research funding or milestone or royalty payments under the collaboration. All of the risks relating to product discovery, development, regulatory approval and commercialization summarized and described in this report also apply to the activities of our therapeutic collaborators.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business strategy, we may pursue acquisitions or licenses of assets or acquisitions of businesses, or disposition of assets or technologies. For example, in February 2022, we announced the acquisition of Rewrite in order to add additional capabilities to our growing platform, which acquisition included an exclusive license from the Regents of the University of California under certain patents related to DNA writing technology. We also may pursue strategic alliances and joint ventures that leverage our core technology and industry experience. If we decide to collaborate with other companies to discover, develop and commercialize therapeutic products, we face significant competition in seeking appropriate collaborators because, for example, third parties have comparable rights to the CRISPR/Cas9 system or similar genome editing technologies. In addition, we have limited experience with acquiring, disposing of or licensing assets or forming strategic alliances and joint ventures.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delay or abandon discovery efforts or development programs, and the development, manufacture or commercialization of a product candidate, or increase our expenditures and undertake these activities at our own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 Furthermore, we may not identify or complete these transactions in a timely manner, on a cost-effective basis, or at all, and we may not realize the anticipated benefits of any acquisition, license, strategic alliance or joint venture.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Reliance on Other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currently rely, and expect to continue to rely in part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 or fail to meet legal and regulatory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 the early stages of establishing our own manufacturing facility to provide preclinical, clinical and commercial supply of our product candidates and must rely on outside vendors, such as CMOs, to manufacture supplies and process our product candidates. We are manufacturing and processing product candidate components on a clinical scale and may not be able to successfully continue to do so. We are optimizing and will continue to optimize the manufacturing process for late-stage clinical and commercial supply, and cannot be sure that even minor changes in the process will result in therapies that are safe, pure and potent. We are also unable to predict how changing global economic conditions or ongoing geopolitical conflicts and related global economic sanctions, or potential global health concerns will affect our third party suppliers and manufacturers. Any negative impact of such matters on our third party suppliers and manufacturers may also have an adverse impact on our results of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facility that we may have in the future and the facilities used by our CMOs to manufacture our product candidates must be inspected and approved by, as applicable, the FDA or other foreign regulatory agencies after we apply for approval or marketing authorization. For the foreseeable future, we will be dependent on our CMO partners to properly manufacture adequate supply of our product candidates and components in a timely manner and in accordance with our specification. We also will depend on these entities for compliance with relevant legal and regulatory requirements for manufacture of our product candidates, including cGMP, and in certain cases, cGTP requirements. If we or our CMOs cannot successfully manufacture material that conforms to our specifications and the strict relevant regulatory requirements, we and our CMOs will not be able to secure or maintain regulatory approval for our respective manufacturing facilities. In addition, we have no control over the ability of our CMOs to maintain adequate quality control, quality assurance and qualified personnel, particularly as we increase the scale of our manufactured material. If the FDA or relevant foreign regulatory authority does not approve these facilities for the manufacture of our product candidates or if it withdraws any such approval, we may need to find alternative manufacturing facilities, which would significantly impact our ability to develop, obtain regulatory approval for or market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CMO with whom we contract fails to perform its obligations, we may be forced to manufacture the materials ourselves, for which we may not have the capabilities or resources, or enter into an agreement with a different CMO, which we may not be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able to do on reasonable terms, if at all. In such scenario, our clinical trials supply could be delayed significantly as we establish alternative supply sources. In some cases, the technical skills required to manufacture our product candidates may be unique to the original CMO and we may have difficulty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rely, and expect to continue to rely on, third parties to conduct our preclinical studies and clinical trials. If these third parties do not successfully carry out their contractual duties or meet expected deadlines or comply with legal and regulatory requirements, we may not be able to obtain regulatory approval of or commercialize any potential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depend, and expect to continue to depend, upon third parties, including independent investigators, to conduct our clinical trials under agreements with universities, medical institutions, CROs, strategic partners and others. We expect to have to negotiate budgets and contracts with CROs, trial sites and other service and goods providers, which may result in delays to our development timelines and increased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rely, and expect to continue to rely heavily, on third parties over the course of our preclinical studies and clinical trials, and, as a result, will have limited control over the clinical investigators and other service providers, and limited visibility into their day-to-day activities, including with respect to their compliance with the approved clinical protocol and other legal, regulatory and scientific standards. 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GCP, which are regulations and guidelines enforced by the FDA, EMA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relevant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articles for studies involving a large number of test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or these third parties’ failure to comply with these requirements or to recruit a sufficient number of patients may require us to delay, suspend, repeat or terminate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 In jurisdictions such as the U.K. and EU, penalties for violations of privacy laws and other regulations can be financially significant. Further, if any of our CROs, clinical investigators or others involved in our clinical trials fail to comply with such laws and regulations, we could be held responsible for its actions or omissions and be negatively impacted. In the event of non-compliance with the EU General Data Protection Regulation (“EU GDPR”) and the EU GDPR in such form as incorporated into the laws of the U.K. (“U.K. GDPR,” collectively with EU GDPR referred to as “GDPR”), we could be subject to substantial fines and other penalties, including fines of up to 20.0 million Euros (17.5 million GBP for the U.K. GDPR) or up to 4% of our total worldwide annual turnover for the preceding financial year, whichever is higher. The GDPR also confers a private right of action on data subjects and consumer associations to lodge complaints with supervisory authorities, seek judicial remedies, and obtain compensation for damages resulting from violations.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third parties conducting our current or future clinical trials will not be our employees and, except for remedies that may be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product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 activities, which could affect their performance on our behalf. If these third parties fail to meet their contractual obligations, legal requirements or expected deadlines, need to be replaced, or generate inaccurate or substandard clinical data by failing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Public health concerns and measures taken in response by U.S. or other governments may significantly impact our CROs, clinical sites and other service and goods providers, which may affect our ability to initiate and complete preclinical studies and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any of our relationships with these third party CROs, clinical sites or other third parties terminate, we may not be able to enter into arrangements with alternative CROs, clinical sites or other third parties or to do so on commercially reasonable terms. Switching or adding additional CROs, clinical sites or other providers involves additional cost and requires management time and focus. In addition, the transition to a new CRO may result in delays, which can materially impact our ability to meet our desired clinical development timelines. Though we carefully manage our relationships with these parties,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Data and Privacy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internal computer systems, or those of our collaborators or other contractors or consultants, may fail or suffer security breaches, incidents, or compromises, which could result in a disruption of our operations and development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collect, store, and transmit large amounts of confidential information (including but not limited to intellectual property, such as trade secrets, proprietary business information, and personal information). It is critical that we do so in a secure manner to maintain the confidentiality and integrity of such confidential information. We have also outsourced elements of our operations to third parties, and as a result we manage a number of third party vendors who may or could have access to our confidential information. Our third party collaborators, vendors and service providers (including our CMOs and CROs) also have access to large amounts of confidential information relating to our operations, including our research and development efforts. The size and complexity of our information technology systems, and those of third party vendors, service providers and collaborators, and the large amounts of confidential information stored on those systems, make such systems potentially vulnerable to service interruptions or systems failures, or to cybersecurity incidents, breaches or compromises from inadvertent or intentional actions by our employees, third party vendors, service providers, collaborators, and/or business partners, or from cyber-attacks by malicious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such risks, the adoption of new technologies may also increase our exposure to cybersecurity incidents, breaches, compromises and failures. Further, having a significant portion of our workforce working from home for extended periods of time puts us at greater risk of cybersecurity attacks. Cyber-attacks are increasing in their frequency, sophistication, and intensity, and have become increasingly difficult to detect. Cyber-attacks could include the deployment of harmful malware, denial-of-service attacks, attacks enhanced or facilitated by artificial intelligence (“AI”), social engineering, “phishing” scams, ransomware, network security breaches, and other means to affect service reliability and threaten the confidentiality, integrity, and availability of information. We and certain of our service providers have been subject to such attacks in the past, and while no such attacks have resulted in a material impact to our business, our company or our service providers may be materially impacted by such attacks in the future. Significant disruptions to our information technology systems could adversely affect our business operations and/or result in the loss, misappropriation, and/or unauthorized access, use, or disclosure of, or the prevention of access to, confidential information (including but not limited to trade secrets or other intellectual property, proprietary business information, and personal information), and could result in financial, legal, business, and reputational harm to us and would adversely affect our operations, including our discovery and research and development programs. Any security incidents, compromises or breaches that lead to unauthorized access, use, or disclosure of personal information, including personal information regarding our employees or current or future clinical trial participants, could harm our reputation, require us to comply with onerous legal requirements under laws and regulations that protect the privacy and security of personal information, and subject us to significant liability including fines, litigation, and loss of current and future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the loss of preclinical or clinical trial data from completed or future preclinical or clinical trials, respectively, could result in delays in our regulatory approval efforts and significantly increase our costs to recover or reproduce the data. To the extent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Cybersecurity incidents, breaches, compromises, insider threats and other inappropriate access can be difficult to detect, and any delay in identifying them may lead to increased harm of the types summarized and described above. While we have implemented security measures to protect our information technology systems and infrastructure, there is no assurance that such measures will prevent service interruptions or security breaches, incidents or compromises that could adversely affect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upon a variety of internet service providers, third party web hosting facilities, cloud computing platform providers and software as a service (“SaaS”) vendors to support our business. Failure to maintain the security, confidentiality, accessibility or integrity of data stored on such systems could result in interruptions in our operations, damage our reputation in the market, increase our service costs, cause us to incur substantial costs, subject us to liability for damages and/or fines, and divert our resources from other tasks, any one of which could materially adversely affect our business, financial condition, results of operations and prospects. If our security measures or those of our third party data center hosting facilities, cloud computing platform providers, SaaS vendors or third party service partners, are breached, and unauthorized access is obtained to our data or our information technology systems, we may incur significant legal and financial exposure and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do not have control over the operations of the facilities of our cloud service providers, SaaS vendors or our third party web hosting providers, and they also may be vulnerable to damage or interruption from natural disasters, hardware or software outages, cybersecurity attacks, terrorist attacks and similar events or acts of misconduct. In addition, any changes in these providers’ service levels may adversely affect our ability to meet our requirements and operate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undertaken measures to restrict the use of public AI platforms, their use by people, including our vendors, suppliers and contractors, with access to our proprietary and confidential information, including trade secrets, may continue to increase and may lead to the release of such information, which may impact our ability to realize the benefit of our intellectual property. We have a process that assesses risks and opportunities for AI deployed at Intellia.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AI systems, and encourages providers and deployers of AI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Likewise, in the U.S., several states, including Colorado and California, passed laws that will take effect in 2026, to regulate various uses of AI, including to make consequential decisions. In addition, various federal regulators have issued guidance and focused enforcement efforts on the use of AI in regulated sectors. The FDA, for example, issued guidance on the use of AI in medical devices, requiring detailed risk management and review processes to obtain approvals. If we use AI systems governed by these laws or regulations,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IP risks, including by disclosing or otherwise compromising our confidential or proprietary IP, or by undermining our ability to assert or defend ownership rights in IP created with the assistance of AI tools.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IP.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Competition</w:t>
      </w:r>
    </w:p>
    <w:p>
      <w:pPr>
        <w:pStyle w:val="TextBody"/>
        <w:bidi w:val="0"/>
        <w:spacing w:before="120" w:after="283"/>
        <w:jc w:val="both"/>
        <w:rPr>
          <w:rFonts w:ascii="Times New Roman" w:hAnsi="Times New Roman"/>
          <w:sz w:val="20"/>
        </w:rPr>
      </w:pPr>
      <w:r>
        <w:rPr>
          <w:rFonts w:ascii="Times New Roman" w:hAnsi="Times New Roman"/>
          <w:b/>
          <w:i/>
          <w:color w:val="000000"/>
          <w:sz w:val="20"/>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biotechnology and pharmaceutical industries are extremely competitive in the race to develop new products. While we believe we have significant competitive advantages with our industry-leading expertise in genome editing, clinical development expertise and dominant IP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 and specialty pharmaceutical and biotechnology companies, academic research institutions, government agencies and public and private research institutions.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to our nex-z program, we are aware of other companies that are currently commercializing or developing products and therapies used to treat ATTR amyloidosis, including Alnylam Pharmaceuticals, Inc., AstraZeneca Pharmaceuticals LP, BridgeBio Pharma Inc., Bayer AG, Ionis Pharmaceuticals, Inc., Metagenomi Technologies, LLC, Novo Nordisk A/S, Pfizer, Inc. and YolTech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Specific to our NTLA-2002 program, we are aware of other companies that are currently commercializing or developing products used to treat HAE, including ADARx Therapeutics, Inc., Astria Therapeutics Inc., BioCryst Pharmaceuticals Inc., CSL Limited, Ionis Pharmaceuticals, Inc., KalVista Pharmaceuticals, Inc., Pharming Group N.V., Pharvaris N.V. and Takeda Pharmaceutical Company Limited.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platform and product foci are on the development of therapies using CRISPR-based technologies. Genome editing companies focused on CRISPR-based technologies include: Arbor Biotechnologies, Inc., Beam Therapeutics Inc., Caribou Biosciences, Inc., CRISPR Therapeutics AG, EdiGene, Inc., Editas Medicine, Inc., Emendo Biotherapeutics, Inc., Ensoma, Inc., Excision Biotherapeutics, Inc., Integra Therapeutics, S.L., Mammoth Biosciences, Inc., Metagenomi Technologies, LLC, Modalis Therapeutics Inc., nChroma Bio (formerly Chroma Medicine, Inc.), Prime Medicine, Inc., Scribe Therapeutics, Inc., Tessera Therapeutics, Inc., ToolGen, Inc., Tune Therapeutics, Inc., Verve Therapeutics, Inc. and YolTech Therapeutics.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also companies developing therapies using additional genome editing technologies, which include Allogene Therapeutics, Inc., bluebird bio, Inc., Cellectis S.A., Editas Medicine, Inc., Life Edit Therapeutics (an ElevateBio Company), Myeloid Therapeutics, Inc., Poseida Therapeutics, Inc. (acquired by Roche Holdings, Inc.), Precision Biosciences, Inc., Prime Medicine, Inc., Sangamo Therapeutics, Inc., Seamless Therapeutics, Inc., Stylus Medicine, Inc. and Tessera Therapeutics, Inc.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also aware of companies developing therapies in various areas related to our specific research and development programs. For </w:t>
      </w:r>
      <w:r>
        <w:rPr>
          <w:rFonts w:ascii="Times New Roman" w:hAnsi="Times New Roman"/>
          <w:i/>
          <w:color w:val="000000"/>
          <w:sz w:val="20"/>
        </w:rPr>
        <w:t>ex vivo</w:t>
      </w:r>
      <w:r>
        <w:rPr>
          <w:rFonts w:ascii="Times New Roman" w:hAnsi="Times New Roman"/>
          <w:color w:val="000000"/>
          <w:sz w:val="20"/>
        </w:rPr>
        <w:t xml:space="preserve">, these companies include Atara Biotherapeutics, Inc., Allogene Therapeutics, Inc., BRL Medicine, Inc., Caribou Biosciences, Inc., CARSgen Therapeutics Corporation, Cellectis S.A., CRISPR Therapeutics AG, Legend Biotech USA, Inc., Poseida Therapeutics, Inc. (acquired by Roche Holdings, Inc.), Precision BioSciences, Inc., and Sana Biotechnology, Inc. For </w:t>
      </w:r>
      <w:r>
        <w:rPr>
          <w:rFonts w:ascii="Times New Roman" w:hAnsi="Times New Roman"/>
          <w:i/>
          <w:color w:val="000000"/>
          <w:sz w:val="20"/>
        </w:rPr>
        <w:t>in vivo</w:t>
      </w:r>
      <w:r>
        <w:rPr>
          <w:rFonts w:ascii="Times New Roman" w:hAnsi="Times New Roman"/>
          <w:color w:val="000000"/>
          <w:sz w:val="20"/>
        </w:rPr>
        <w:t>, these companies include Beam Therapeutics Inc., CRISPR Therapeutics AG, Editas Medicine, Inc., Ensoma, Inc., Metagenomi Technologies, LLC, Orna Therapeutics, Inc., Precision Biosciences, Inc., Prime Medicine, Inc., Tessera Therapeutics, Inc., Vertex Pharmaceuticals, Inc. and Verve Therapeutics, Inc.</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Our competitors will also include companies that are or will be developing other genome editing methods as well as small molecules, biologics, </w:t>
      </w:r>
      <w:r>
        <w:rPr>
          <w:rFonts w:ascii="Times New Roman" w:hAnsi="Times New Roman"/>
          <w:i/>
          <w:color w:val="000000"/>
          <w:sz w:val="20"/>
        </w:rPr>
        <w:t>in vivo</w:t>
      </w:r>
      <w:r>
        <w:rPr>
          <w:rFonts w:ascii="Times New Roman" w:hAnsi="Times New Roman"/>
          <w:color w:val="000000"/>
          <w:sz w:val="20"/>
        </w:rPr>
        <w:t xml:space="preserve"> gene therapies, engineered cell therapies and nucleic acid-based therapies for the same indications that we are targeting with our CRISPR/Cas9-based therapeutics.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advances in gene therapy, engineered cell therapies or genome editing technology made by a competitor may be used to develop therapies that could compete against any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these competitors have substantially greater research and development capabilities and financial, scientific, technical, intellectual property, manufacturing, marketing, distribution and other resources than we do, and we may not be able to successfully compete with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successful in selecting and developing any product candidates, in order to compete successfully we may need to be first-to-market or demonstrate that our CRISPR/Cas9-based products are superior to therapies based on the same or different treatment methods. If we are not first-to-market or are unable to demonstrate such superiority, any products for which we are able to obtain approval may not be commercially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U.S. and 10 years in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Commercialization</w:t>
      </w:r>
    </w:p>
    <w:p>
      <w:pPr>
        <w:pStyle w:val="TextBody"/>
        <w:bidi w:val="0"/>
        <w:spacing w:before="120" w:after="283"/>
        <w:jc w:val="both"/>
        <w:rPr>
          <w:rFonts w:ascii="Times New Roman" w:hAnsi="Times New Roman"/>
          <w:sz w:val="20"/>
        </w:rPr>
      </w:pPr>
      <w:r>
        <w:rPr>
          <w:rFonts w:ascii="Times New Roman" w:hAnsi="Times New Roman"/>
          <w:b/>
          <w:i/>
          <w:color w:val="000000"/>
          <w:sz w:val="20"/>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 candidates or therapies are approved and we may not be able to generate any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w:t>
      </w:r>
    </w:p>
    <w:p>
      <w:pPr>
        <w:pStyle w:val="TextBody"/>
        <w:bidi w:val="0"/>
        <w:jc w:val="both"/>
        <w:rPr>
          <w:rFonts w:ascii="Times New Roman" w:hAnsi="Times New Roman"/>
          <w:color w:val="000000"/>
          <w:sz w:val="20"/>
        </w:rPr>
      </w:pPr>
      <w:r>
        <w:rPr>
          <w:rFonts w:ascii="Times New Roman" w:hAnsi="Times New Roman"/>
          <w:color w:val="000000"/>
          <w:sz w:val="20"/>
        </w:rPr>
        <w:t>Factors that may inhibit our efforts to commercialize our product candidates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product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lack of complementary treatments to be offered by sales personnel, which may put us at a competitive disadvantage relative to companies with more extensive product lines;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location of patients in need of our product candidates and the treating physicians who may prescribe the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costs and expenses, as well as legal and regulatory requirements, associated with creating and operating a sales and marketing organization.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we would likely have lower product revenue or profitability than if we ourselves were to market and sell our product candidates. In addition, we may be unable to enter into sales and marketing arrangements with third parties, or into arrangements with terms that are favorable to us. We likely will have little control over such third parties and any of them may fail to devote the necessary resources and attention to sell and market our product candidates effectively. If we do not establish sales, marketing and distribution capabilities successfully, either on our own or through third parties, we may not be successful in commercializing our product candidates, and our business, results of operations, financial condition and prospects will be materially adversely affected.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Employee Matters and Managing Our Workforce</w:t>
      </w:r>
    </w:p>
    <w:p>
      <w:pPr>
        <w:pStyle w:val="TextBody"/>
        <w:bidi w:val="0"/>
        <w:spacing w:before="120" w:after="283"/>
        <w:jc w:val="both"/>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research and development, clinical, manufacturing, commercialization, legal, financial and business development expertise of John M. Leonard, M.D., our President and Chief Executive Officer, Edward J. Dulac III, our Executive Vice President, Chief Financial Officer and Treasurer, James Basta, our Executive Vice President, General Counsel and Corporate Secretary, Eliana Clark, our Executive Vice President and Chief Technical Officer, Michael P. Dube, our Chief Accounting Officer, David Lebwohl, our Executive Vice President and Chief Medical Officer and Birgit Schultes, our Executive Vice President and Chief Scientific Officer,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Execution of our business plans and strategies requires capable personnel with specialized skills and expertise in the research, development, manufacturing and commercialization of biopharmaceutical products, and, as a result, we may encounter difficulties in hiring or retaining capable personnel in key positions.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genome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U.S. citizens, and there is uncertainty with regard to their future employment status due to the current U.S. administration’s announced intention of modifying the legal framework for non-U.S. citizens to be employed in the U.S. If we are unable to continue to attract and retain high quality personnel, our ability to pursue our growth strategy will be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help attract, retain, and motivate qualified employees in senior roles, we use equity-based awards and performance-based cash incentive awards. Sustained declines in our stock price, or lower stock price performance relative to competitors, can reduce the retention value of our equity-based awards, which can impact the competitiveness of our compensation. There can be no assurance that we will be successful in retaining existing personnel or recruiting new personnel.</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Healthcare</w:t>
      </w:r>
    </w:p>
    <w:p>
      <w:pPr>
        <w:pStyle w:val="TextBody"/>
        <w:bidi w:val="0"/>
        <w:spacing w:before="120" w:after="283"/>
        <w:jc w:val="both"/>
        <w:rPr>
          <w:rFonts w:ascii="Times New Roman" w:hAnsi="Times New Roman"/>
          <w:sz w:val="20"/>
        </w:rPr>
      </w:pPr>
      <w:r>
        <w:rPr>
          <w:rFonts w:ascii="Times New Roman" w:hAnsi="Times New Roman"/>
          <w:b/>
          <w:i/>
          <w:color w:val="000000"/>
          <w:sz w:val="20"/>
        </w:rPr>
        <w:t>Coverage and reimbursement may be limited or unavailable in certain market segments for our product candidates, if approved, which could make it difficult for us to sell any product candidates or therapies profitably.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product candidates, if approved, depends on the availability of adequate coverage and reimbursement from third party payors, including government agencies, private health insurers and health maintenance organizations. There is significant uncertainty related to the insurance coverage and reimbursement of any newly approved product, but in particular novel genome editing and engineered cell products. All the therapeutic indications approved by the relevant authorities may not be covered or reimbursed. In addition, we cannot be sure that coverage and reimbursement will be available for, or accurately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estimate the potential revenue from, our product candidates because they are novel treatments for diseases using a new technology and delivery approaches. For more information on coverage and reimbursement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Coverage and Reimbursement,</w:t>
      </w:r>
      <w:r>
        <w:rPr>
          <w:rFonts w:ascii="Times New Roman" w:hAnsi="Times New Roman"/>
          <w:color w:val="000000"/>
          <w:sz w:val="20"/>
        </w:rPr>
        <w:t>” in our Annual Report on Form 10-K filed with the Securities and Exchange Commission on February 27, 2025.</w:t>
      </w:r>
    </w:p>
    <w:p>
      <w:pPr>
        <w:pStyle w:val="TextBody"/>
        <w:bidi w:val="0"/>
        <w:spacing w:before="120" w:after="283"/>
        <w:jc w:val="both"/>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and some other jurisdictions, patients generally rely on third party payors to reimburse all or part of the costs associated with their treatment. Adequate coverage and reimbursement from governmental healthcare programs, such as Medicare and Medicaid in the U.S., and commercial payors are critical to new product uptake.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Government authorities and other third party payors, such as private health insurers and health maintenance organizations, decide which drugs and treatments they will cover and the amount of reimbursement. In the U.S., the principal decisions about reimbursement for new medicines are typically made by the CMS, an agency within the U.S. Department of Health and Human Services. CMS decides whether and to what extent a new medicine will be covered and reimbursed under Medicare, and private payors often follow CMS’s coverage decisions. Other jurisdictions have agencies, such as the National Institute for Health and Care Excellence in the U.K., that evaluate the use and cost-effectiveness of therapies, which impact the utilization and price of the medicine in such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U.S., no uniform policy of coverage and reimbursement for products exists among third party payors. As a result, obtaining coverage and reimbursement approval of a product from a third party payor is a time-consuming and costly process that could require us to provide supporting scientific, clinical and cost-effectiveness data for the use of our products to each potential payor, with no assurance that coverage and adequate reimbursement will be obtained from all or any of them. Even if we obtain coverage for a given product, the resulting reimbursement payment rates might be insufficient or may require co-insurance or co-payments that patients find unacceptably high, which may prevent us from achieving or sustaining profitability. Additionally, third party payors may not cover, or provide adequate reimbursement for, long-term follow-up evaluations required following the use of our genome editing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each country in which we seek approval to market our product candidates has unique laws and market practices regulating coverage and reimbursement for human therapeutics. Market acceptance and sales of our products in each country will depend on our ability to meet each of these jurisdiction’s requirements for coverage and reimbursement. Further, changes to the country’s existing requirements may also affect our ability to commercialize our products in the future, or achieve profitability from their sale.</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sale, distribution and marketing of human therapeutics and our relationship with healthcare providers are strictly regulated by laws in the U.S. and most other jurisdictions in which we intend to seek approval for our product candidates. In addition, the collection and use of personal information, including Protected Health Information, is regulated by federal, state and foreign privacy, data security and data protection laws. Failure to comply with these laws could impair our ability to properly sell our product candidates in particular jurisdictions and subject us to liability from private and governmental entities. Addressing these diverse and sometimes contradictory requirements in myriad jurisdictions may necessitate that we expend significant resources on compliance efforts. Any failure to comply with these requirements may leave us exposed to possible enforcement actions and potential liability. For more information on these laws and regulations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Other Healthcare and Privacy Laws,</w:t>
      </w:r>
      <w:r>
        <w:rPr>
          <w:rFonts w:ascii="Times New Roman" w:hAnsi="Times New Roman"/>
          <w:color w:val="000000"/>
          <w:sz w:val="20"/>
        </w:rPr>
        <w:t>” in our Annual Report on Form 10-K filed with the Securities and Exchange Commission on February 27,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and enforcement of each of these laws is not always certain and is subject to legislative, judicial or prosecutorial changes. Further, because of the breadth of these laws, it is possible that some of our business activities could be subject to challenge under one or more of such laws. Indeed, U.S. federal and state enforcement bodies have increasingly scrutinized healthcare companies and providers interactions, which has led to a number of investigations, prosecutions, convictions and settlements in the industry. Ensuring business arrangements comply with applicable laws, as well as responding to possible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investigations by government authorities, can be time- and resource-consuming and can divert the attention of our staff and resources from performing the duties required for the general operation of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increasingly global nature of our business operations, including clinical development efforts, subjects us to domestic and foreign anti-bribery and anti-corruption laws and regulations, such as the Foreign Corrupt Practices Act (“FCPA”) and the U.K. Bribery Act. These activities create the risk of unauthorized payments or offers of payments that are prohibited under the FCPA, the U.K. Bribery Act or similar laws. It is our policy to implement safeguards to discourage these practices by our employees and agents.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U.S. federal and state governments, as well as other jurisdictions, have myriad laws regulating the collection, storage, distribution, safeguarding and use of personal information of employees, patients, agents, and others. These different laws governing the privacy and security of health and other personal information often differ from each other in significant ways and may not have the same effective requirements, thus complicating efforts to comply with their respective provisions.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California Consumer Privacy Act (“CCPA”) requires covered companies to provide disclosures to California consumers and afford such consumers rights with respect to their personal information, including the rights to request deletion of their information, receive the information on record for them, know what categories of information are being maintained about them, and opt-out of certain sales of their information. The CCPA provides for civil penalties for violations, as well as a private right of action for certain data breaches that result in the loss of personal information, which may increase the likelihood of, and risks associated with, data breach litigation. The CCPA was amended by the California Privacy Rights Act (“CPRA”), which went into effect on January 1, 2023, and substantially modified the CCPA, including by expanding consumers’ rights with respect to certain sensitive personal information, establishing a state agency vested with the authority to enforce the CCPA and by creating additional obligations with respect to the processing of personal information, including regulating personal information collected about employees, applicants and retirees as well as that which is collected in a business to business capacity. We anticipate additional costs associated with CCPA and other U.S. state privacy law compliance and we cannot yet fully determine the impact that such laws, regulations and standards may have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consumer privacy and data protection laws have been or are predicted to be passed in a number of additional states. Many state privacy and data protection laws differ from each other in significant ways, and it is not yet fully clear how these laws will be enforced and interpreted. In addition, other states have passed laws regulating specific aspects of privacy. For example, the State of Washington recently passed a law, effective as of March 31, 2024, that regulates health and medical information that is not subject to HIPAA. Similar laws have been passed in Connecticut and Nevada. Additionally, a small number of states have enacted laws that specifically target the collection and use of biometric information. Furthermore, other U.S. states have enacted stringent data security 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around the world, many countries have enacted laws that regulate data protection. In the European Economic Area (“EEA”), the collection and use of personal data is regulated by the GDPR and the member states’ related data protection and privacy laws. As the GDPR applies not only to businesses that are established within the EEA or the U.K. but also to any business that offers goods or services to individuals in those territories, it could apply to us. The GDPR imposes strict requirements, including requirements to ensure an appropriate legal basis or condition applies to the processing of personal data, special protections for “sensitive” personal data which includes health and genetic information of individuals in the EEA or the U.K.; disclosures about the personal data use; information retention limitations; mandatory data breach notification requirements; and additional oversight obligations relating to third parties retained to process the personal data. The GDPR grants or enhances the rights of individuals with respect to their personal data, including the rights to object to the processing of the data and request deletion of the same. In addition, the GDPR includes strict requirements on, and prohibits, the transfer of personal data subject to GDPR to jurisdictions that have not been deemed by competent authorities to offer “adequate” privacy protections (“third countries”), unless a derogation exists or a valid GDPR transfer mechanism (for example, the EC approved Standard Contractual Clauses, certification to the EU-U.S. Data Privacy Framework (which allows for transfers for relevant U.S.-based organizations who self-certify compliance and participate in the framework) and the U.K. International Data Transfer Agreement/Addendum) has been put in place and a transfer impact assessment has been carried out. Our compliance with international data transfer obligations under the GDPR, where applicable, may require significant effort and cost, and may limit our ability to transfer such personal data to other jurisdictions or to work with certain service providers that process personal data, and may require us to make strategic considerations around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where such personal data is stored. Further, although the EC has acknowledged that the U.K. currently has adequate protections for international data transfers, there may be developments related to the U.K.’s withdrawal from the EU (“Brexit”) in the future that result in additional costs and operational challenges in complying with the U.K. GDPR and any other developments regulating the transfer of personal data between the U.K. and EU. For example, the U.K. government has introduced a Data Use and Access Bill (the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EC. Failure to comply with the requirements of the GDPR may result in warning letters, mandatory audits, orders to cease/change the use of data, and financial penalties, including fines of up to 4% of global revenues, or 20.0 million Euros (17.5 million GBP in the U.K.), whichever is greater. Moreover, data subjects can seek damages for violations, and non-profit organizations can bring claims on behalf of data subjects.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associated with ensuring compliance with these laws, including in particular GDPR, may be onerous and may adversely affect our business, financial condition, results of operations and prospects. We may also need to rely on multiple third parties, such as partners and service providers, to meet these legal requirements, which could result in additional liability for us if they do not comply.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we comply with all applicable healthcare and data privacy laws and regulations, as well as other domestic and foreign legal requirements, will involve substantial costs. It is possible that governmental and enforcement authorities in the U.S. or outside the U.S. will conclude that our business practices do not comply with current or future legal requirements. If any noncompliance actions are instituted against us, those actions could have a significant impact on our business, including the imposition of significant civil, criminal and administrative penalties, damages, disgorgement, monetary fines, individual imprisonment, exclusion from participation in federal healthcare programs (such as Medicare and Medicaid), contractual damages, reputational harm, diminished profits and future earnings, and curtailment or restructuring of our operations, as well as additional reporting obligations and oversight if we become subject to a corporate integrity agreement or similar agreement to resolve allegations of non-compliance with these laws, any of which could adversely affect our ability to operate our business and affect the results of our operations. Any action alleging a violation of these laws, even if successfully defended, could result in significant legal expenses and divert management’s attention from the operation of the business. Prohibitions or restrictions on sales (including importation or exportation) or withdrawal of future marketed products could materially affect business in an adverse way.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cost control initiatives, including healthcare legislative and regulatory reform measures, may have a material adverse effect on our business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The U.S. and many other jurisdictions have enacted or proposed legal changes affecting the healthcare system that could prevent or delay marketing approval of our product candidates, affect our ability to profitably sell our product candidates once approved, and restrict or regulate post-approval activities. Changes in the legal requirements, or their interpretation, could impact our business by compelling, for example, modification to: our manufacturing arrangements; product labeling; pricing and reimbursement arrangements; private or governmental insurance coverage; the sale practices for, or availability of, our products; or record-keeping activities. If any such changes were to be imposed, they could adversely affect the operation of our business. For more information on these laws and regulations see the section entitled “</w:t>
      </w:r>
      <w:r>
        <w:rPr>
          <w:rFonts w:ascii="Times New Roman" w:hAnsi="Times New Roman"/>
          <w:b/>
          <w:color w:val="000000"/>
          <w:sz w:val="20"/>
        </w:rPr>
        <w:t xml:space="preserve">Business – Government Regulation and Product Approval – </w:t>
      </w:r>
      <w:r>
        <w:rPr>
          <w:rFonts w:ascii="Times New Roman" w:hAnsi="Times New Roman"/>
          <w:b/>
          <w:i/>
          <w:color w:val="000000"/>
          <w:sz w:val="20"/>
        </w:rPr>
        <w:t>Healthcare Reform,</w:t>
      </w:r>
      <w:r>
        <w:rPr>
          <w:rFonts w:ascii="Times New Roman" w:hAnsi="Times New Roman"/>
          <w:color w:val="000000"/>
          <w:sz w:val="20"/>
        </w:rPr>
        <w:t xml:space="preserve">” in our Annual Report on Form 10-K filed with the Securities and Exchange Commission on February 27,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party payors, whether domestic or foreign, or governmental or commercial, are developing increasingly sophisticated methods of controlling healthcare costs. In the U.S. and certain other jurisdictions, there have been, and are expected to continue to be, a number of legislative and regulatory changes to the healthcare system that could impact our ability to sell our products profitably. In addition, significant uncertainty exists in the U.S. and certain other jurisdictions regarding the provision and financing of healthcare because the elected administrations in such countries have publicly declared their intention to review and potentially significantly modify the current legal and regulatory framework for the healthcare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set a price that we believe is fair for our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Risks Related to Investment in Securities</w:t>
      </w:r>
    </w:p>
    <w:p>
      <w:pPr>
        <w:pStyle w:val="TextBody"/>
        <w:bidi w:val="0"/>
        <w:spacing w:before="120" w:after="283"/>
        <w:jc w:val="both"/>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The price of our common stock historically has been volatile, which may affect the price at which you could sell any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for our common stock historically has been highly volatile and could continue to be subject to wide fluctuations in response to various factors.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products or technologies or competing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results of clinical trials of our product candidates or those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issued patents, patent applications or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or legal developments in the U.S.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results of our efforts to discover, develop, manufacture, acquire or in-license our current and additional product candidates or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variations in our financial results or the financial results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shares intend to sell shares;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perception of the safety of genome editing based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other factors summarized and described in this </w:t>
      </w:r>
      <w:r>
        <w:rPr>
          <w:rFonts w:ascii="Times New Roman" w:hAnsi="Times New Roman"/>
          <w:i/>
          <w:color w:val="000000"/>
          <w:sz w:val="20"/>
        </w:rPr>
        <w:t>Risk Factors</w:t>
      </w:r>
      <w:r>
        <w:rPr>
          <w:color w:val="000000"/>
        </w:rPr>
        <w:t xml:space="preserve"> </w:t>
      </w:r>
      <w:r>
        <w:rPr>
          <w:rFonts w:ascii="Times New Roman" w:hAnsi="Times New Roman"/>
          <w:color w:val="000000"/>
          <w:sz w:val="20"/>
        </w:rPr>
        <w:t>section.</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trading in the stock market in general, and in The Nasdaq Global Market in particular, have also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Even if the allegations against us are unfounded or we ultimately are not held liable, we may experience related negative publicity resulting in damage to our reputation. Such litigation, if instituted against us, could result in substantial costs and diversion of management’s attention and resources, which could materially and adversely affect our business, financial condition, results of operations and growth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depend, in part, on the research and reports that securities or industry analysts publish about us or our business. Securities and industry analysts may not publish an adequate amount of research on us,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 of analysts, our stock price would likely decline. If one or more of these analysts cease coverage of us or fail to publish reports on us regularly, demand for our stock could decrease, which might cause our stock price and trading volume to decline. </w:t>
      </w:r>
    </w:p>
    <w:p>
      <w:pPr>
        <w:pStyle w:val="TextBody"/>
        <w:bidi w:val="0"/>
        <w:spacing w:before="240" w:after="283"/>
        <w:jc w:val="both"/>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 Related to Ownership Generally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if they choose to act together, will be able to control or exercise significant influence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executive officers, directors, 5% or greater stockholders and their affiliates beneficially own a significant percentage of our outstanding voting stock. These stockholders may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broad discretion over the use of our cash, cash equivalents and marketable securities, and may not use them effectively, including that we may be exposed to liquidity issues and other systemic financial risks at the financial institutions holding our cash and cash equivalents.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has broad discretion to use our cash, cash equivalents and marketable securities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cash equivalents and marketable securities in a manner that does not produce income or that loses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portion of our cash may be held by financial institutions that may have been, or could in the future become, exposed to liquidity issues, bank failures or other systemic financial risks. Our uninsured cash deposits with such financial institutions may be at risk in the event they experience liquidity problems or other financial losses. In addition, although the U.S. Department of Treasury, the Federal Deposit Insurance Corporation (“FDIC”) and Federal Reserve Board previously provided loans and other programs to mitigate the risk of potential losses from uninsured deposits, there is no guarantee that the U.S. Department of Treasury, FDIC and Federal Reserve Board will provide access to such programs in the future in the event of the closure of other banks or financial institutions, or that they would do so in a timely fashion. We assess our banking relationships as we believe necessary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appropriate, but uncertainty remains over liquidity concerns in the broader financial services industry, and our business, our business partners, or industry as a whole may be adversely impacted in ways that we cannot predict at this time, including our ability to access cash in amounts adequate to finance or capitalize our current and/or projected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(including cash management arrangements), disruptions or instability in the financial services industry or financial markets, or concerns or negative expectations about the prospects for companies in the financial services industry. In addition, our vendors, such as our CMOs, CROs or business partners, may be susceptible to the foregoing liquidity or other financial risks and factors, which could, in turn, have a material adverse effect on our current and/or projected business operations and results of operations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We incur significant costs as a result of operating as a public company, and our management is required to devote substantial time to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and particularly since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Section 404 of the Sarbanes-Oxley Act of 2002 (“Section 404”), we are required to furnish a report by our management on our internal control over financial reporting, including an attestation report on internal control over financial reporting issued by our independent registered public accounting firm. We conduct a process each year to document and evaluate our internal control over financial reporting, which is both costly and challenging. In this regard, we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that our internal control over financial reporting is effective as required by Section 404. This could result in an adverse reaction in the financial markets due to a loss of confidence in the reliability of our consolidated financial statements.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Future Financial Condition</w:t>
      </w:r>
    </w:p>
    <w:p>
      <w:pPr>
        <w:pStyle w:val="TextBody"/>
        <w:bidi w:val="0"/>
        <w:spacing w:before="120" w:after="283"/>
        <w:jc w:val="both"/>
        <w:rPr>
          <w:rFonts w:ascii="Times New Roman" w:hAnsi="Times New Roman"/>
          <w:sz w:val="20"/>
        </w:rPr>
      </w:pPr>
      <w:r>
        <w:rPr>
          <w:rFonts w:ascii="Times New Roman" w:hAnsi="Times New Roman"/>
          <w:b/>
          <w:i/>
          <w:color w:val="000000"/>
          <w:sz w:val="20"/>
        </w:rPr>
        <w:t>Future sales and issuances of our common stock or rights to purchase common stock, including pursuant to our equity incentive plans and “at-the-market” offerings, could result in additional dilution of the percentage ownership of stockholders and could cause our stock price to fall.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volatility in the capital markets, we may not be willing or able to continue to raise equity capital. We may, therefore, need to turn to other sources of funding that may have terms that are not favorable to us, or reduce our business operations given capital constraints.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We cannot predict the effect that future sales of common stock or other equity-related securities would have on the market price of our common stock. 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our Charter and Bylaws</w:t>
      </w:r>
    </w:p>
    <w:p>
      <w:pPr>
        <w:pStyle w:val="TextBody"/>
        <w:bidi w:val="0"/>
        <w:spacing w:before="120" w:after="283"/>
        <w:jc w:val="both"/>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difficult, limit attempts by our stockholders to replace or remove our current management and adversely affect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permit the board of directors to issue up to 5,000,000 shares of preferred stock, with any rights, preferences and privileges as they may designate;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the authorized number of directors may be changed only by resolution of the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all vacancies, including newly created directorships, may, except as otherwise required by law, be filled by the affirmative vote of a majority of directors then in office, even if less than a quorum;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 the board of directors into three classes;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a director may only be removed from the board of directors by the stockholders for 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any action to be taken by our stockholders must be effected at a duly called annual or special meeting of stockholders, and may not be taken by written consent;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prevent cumulative voting rights (therefore allowing the holders of a plurality of the shares of common stock entitled to vote in any election of directors to elect all of the directors standing for election, if they should so choose);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the chairman of the board, our chief executive officer (or president, in the absence of a chief executive officer) or by the board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that stockholders will be permitted to amend the bylaws only upon receiving at least two-thirds of the total votes entitled to be cast by holders of all outstanding shares then entitled to vote generally in the election of directors, voting together as a single class.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w:t>
      </w:r>
    </w:p>
    <w:p>
      <w:pPr>
        <w:pStyle w:val="TextBody"/>
        <w:bidi w:val="0"/>
        <w:spacing w:before="240" w:after="283"/>
        <w:jc w:val="both"/>
        <w:rPr>
          <w:rFonts w:ascii="Times New Roman" w:hAnsi="Times New Roman"/>
          <w:sz w:val="20"/>
        </w:rPr>
      </w:pPr>
      <w:r>
        <w:rPr>
          <w:rFonts w:ascii="Times New Roman" w:hAnsi="Times New Roman"/>
          <w:b/>
          <w:i/>
          <w:color w:val="000000"/>
          <w:sz w:val="20"/>
        </w:rPr>
        <w:t>Our certificate of incorporation and by-laws designate certain courts as the sole and exclusive forums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certificate of incorporation and by-laws provide that, unless we consent in writing to the selection of an alternative forum, the Court of Chancery of the State of Delaware is the sole and exclusive forum for any state law claims for any derivative action or proceeding brought on our behalf alleging state law claims,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“Delaware Forum Provision”). The Delaware Forum Provision does not apply to claims arising under the Exchange Act or the Securities Act. Our by-laws further provide that the U.S. District Court for the District of Massachusetts will be the sole and exclusive forum for resolving any complaint asserting a cause of action arising under the Securities Act (the “Federal Forum Provision”). We have chosen the U.S. District Court for the District of Massachusetts as the exclusive forum for such Securities Act causes of action because our principal executive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offices are located in Cambridge, Massachusetts. Our by-laws provide that any person or entity purchasing or otherwise acquiring any interest in any shares of our common stock is deemed to have notice of and consented to the foregoing Delaware Forum Provision and the Federal Forum Provision.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Delaware Forum Provision and the Federal Forum Provision may impose additional litigation costs on stockholders in pursuing the claims identified above, particularly if the stockholders do not reside in or near the State of Delaware or the Commonwealth of Massachusetts. Additionally, the Delaware Forum Provision and the Federal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Delaware Forum Provision and the Federal Forum Provision to be inapplicable or unenforceable in an action, we may incur additional costs associated with resolving such action in other jurisdictions, which could adversely affect our business and financial condition. The Court of Chancery of the State of Delaware or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Risks Related to Tax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Changes in tax law may adversely affect our business and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laws and rules dealing with U.S. federal, state and local income taxation are routinely being reviewed and modified by governmental bodies, officials and regulatory agencies, including the Internal Revenue Service and the U.S. Treasury Department. We cannot predict whether, when, in what form, or with what effective dates, tax laws, regulations and rulings may be enacted, promulgated or issued, that could result in an increase in our or our stockholders’ tax liability.</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w:t>
      </w:r>
      <w:r>
        <w:rPr>
          <w:rFonts w:ascii="Times New Roman" w:hAnsi="Times New Roman"/>
          <w:color w:val="000000"/>
          <w:sz w:val="20"/>
        </w:rPr>
        <w:t>“</w:t>
      </w:r>
      <w:r>
        <w:rPr>
          <w:rFonts w:ascii="Times New Roman" w:hAnsi="Times New Roman"/>
          <w:b/>
          <w:i/>
          <w:color w:val="000000"/>
          <w:sz w:val="20"/>
        </w:rPr>
        <w:t>NOL</w:t>
      </w:r>
      <w:r>
        <w:rPr>
          <w:rFonts w:ascii="Times New Roman" w:hAnsi="Times New Roman"/>
          <w:color w:val="000000"/>
          <w:sz w:val="20"/>
        </w:rPr>
        <w:t>”</w:t>
      </w:r>
      <w:r>
        <w:rPr>
          <w:rFonts w:ascii="Times New Roman" w:hAnsi="Times New Roman"/>
          <w:b/>
          <w:i/>
          <w:color w:val="000000"/>
          <w:sz w:val="20"/>
        </w:rPr>
        <w:t>) carryforwards and certain other tax attributes may be limited.</w:t>
      </w:r>
    </w:p>
    <w:p>
      <w:pPr>
        <w:pStyle w:val="TextBody"/>
        <w:bidi w:val="0"/>
        <w:spacing w:before="120" w:after="283"/>
        <w:jc w:val="both"/>
        <w:rPr>
          <w:rFonts w:ascii="Times New Roman" w:hAnsi="Times New Roman"/>
          <w:sz w:val="20"/>
        </w:rPr>
      </w:pPr>
      <w:r>
        <w:rPr>
          <w:rFonts w:ascii="Times New Roman" w:hAnsi="Times New Roman"/>
          <w:color w:val="000000"/>
          <w:sz w:val="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2024, we had federal and state NOLs of $1,088.4 million and $1,079.2 million, respectively, some of which begin to expire in 2034. Federal and certain state NOLs generated in taxable years ending after December 31, 2017 are not subject to expiration. As of December 31, 2024, we had federal and state research and development and other credit carryforwards of approximately $139.3 million and $77.9</w:t>
      </w:r>
      <w:r>
        <w:rPr>
          <w:rFonts w:ascii="Times New Roman" w:hAnsi="Times New Roman"/>
          <w:color w:val="FF0000"/>
          <w:sz w:val="20"/>
        </w:rPr>
        <w:t xml:space="preserve"> </w:t>
      </w:r>
      <w:r>
        <w:rPr>
          <w:rFonts w:ascii="Times New Roman" w:hAnsi="Times New Roman"/>
          <w:color w:val="000000"/>
          <w:sz w:val="20"/>
        </w:rPr>
        <w:t>million, which begin to expire in 2034 and 2029, respectively.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During 2022, we completed an assessment of the available net operating loss carryforwards and other tax attributes under Section 382.</w:t>
      </w:r>
      <w:r>
        <w:rPr>
          <w:rFonts w:ascii="Times New Roman" w:hAnsi="Times New Roman"/>
          <w:color w:val="FF0000"/>
          <w:sz w:val="20"/>
        </w:rPr>
        <w:t xml:space="preserve"> </w:t>
      </w:r>
      <w:r>
        <w:rPr>
          <w:rFonts w:ascii="Times New Roman" w:hAnsi="Times New Roman"/>
          <w:color w:val="000000"/>
          <w:sz w:val="20"/>
        </w:rPr>
        <w:t>The analysis did not result in a material limitation to our tax attributes and the results of this analysis are reflected herein.</w:t>
      </w:r>
      <w:r>
        <w:rPr>
          <w:rFonts w:ascii="Times New Roman" w:hAnsi="Times New Roman"/>
          <w:color w:val="FF0000"/>
          <w:sz w:val="20"/>
        </w:rPr>
        <w:t xml:space="preserve"> </w:t>
      </w:r>
      <w:r>
        <w:rPr>
          <w:rFonts w:ascii="Times New Roman" w:hAnsi="Times New Roman"/>
          <w:color w:val="000000"/>
          <w:sz w:val="20"/>
        </w:rPr>
        <w:t>We have not completed an analysis through December 31, 2024. To the extent there was a change in control during 2023 and 2024, our tax attributes could be subject to limitation. We may experience ownership changes in the future. As a result, if we earn net taxable income, our ability to use our pre-change NOLs and research and development tax credits to offset such taxable income and income tax, respectively, could be subject to limitations. Similar provisions of state tax law may also apply. As a result, even if we attain profitability, we may be unable to use a material portion of our NOLs and other tax attributes.</w:t>
      </w:r>
    </w:p>
    <w:p>
      <w:pPr>
        <w:pStyle w:val="TextBody"/>
        <w:bidi w:val="0"/>
        <w:jc w:val="left"/>
        <w:rPr/>
      </w:pPr>
      <w:r>
        <w:rPr/>
        <w:t> </w:t>
      </w:r>
    </w:p>
    <w:p>
      <w:pPr>
        <w:pStyle w:val="TextBody"/>
        <w:bidi w:val="0"/>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6" w:name="toc_page"/>
      <w:bookmarkEnd w:id="16"/>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describes for the three months ended March 31, 2025 each trading arrangement under which the Company’s directors or officers adopted, materially modified, or terminated any contract, instruction, or written plan for the purchase or sale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of Company securities that was intended to satisfy the affirmative defense conditions of Rule 10b5-1(c) or any non-Rule 10b5-1 trading arrangement.</w:t>
      </w:r>
    </w:p>
    <w:tbl>
      <w:tblPr>
        <w:tblW w:w="10205" w:type="dxa"/>
        <w:jc w:val="left"/>
        <w:tblInd w:w="0" w:type="dxa"/>
        <w:tblLayout w:type="fixed"/>
        <w:tblCellMar>
          <w:top w:w="28" w:type="dxa"/>
          <w:left w:w="28" w:type="dxa"/>
          <w:bottom w:w="28" w:type="dxa"/>
          <w:right w:w="28" w:type="dxa"/>
        </w:tblCellMar>
      </w:tblPr>
      <w:tblGrid>
        <w:gridCol w:w="1172"/>
        <w:gridCol w:w="1284"/>
        <w:gridCol w:w="1369"/>
        <w:gridCol w:w="1395"/>
        <w:gridCol w:w="3759"/>
        <w:gridCol w:w="1226"/>
      </w:tblGrid>
      <w:tr>
        <w:trPr/>
        <w:tc>
          <w:tcPr>
            <w:tcW w:w="117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172" w:type="dxa"/>
            <w:tcBorders>
              <w:top w:val="single" w:sz="18" w:space="0" w:color="000000"/>
              <w:left w:val="single" w:sz="18" w:space="0" w:color="000000"/>
              <w:bottom w:val="single" w:sz="4" w:space="0" w:color="000000"/>
              <w:right w:val="single" w:sz="4" w:space="0" w:color="000000"/>
            </w:tcBorders>
            <w:shd w:fill="A6A6A6"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Name</w:t>
            </w:r>
            <w:r>
              <w:rPr>
                <w:rFonts w:ascii="Times New Roman" w:hAnsi="Times New Roman"/>
                <w:color w:val="000000"/>
                <w:sz w:val="18"/>
              </w:rPr>
              <w:t> </w:t>
            </w:r>
            <w:r>
              <w:rPr>
                <w:rFonts w:ascii="Times New Roman" w:hAnsi="Times New Roman"/>
                <w:b/>
                <w:i/>
                <w:color w:val="000000"/>
                <w:sz w:val="18"/>
              </w:rPr>
              <w:t>(Title)</w:t>
            </w:r>
          </w:p>
        </w:tc>
        <w:tc>
          <w:tcPr>
            <w:tcW w:w="1284"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Action Taken</w:t>
            </w:r>
            <w:r>
              <w:rPr>
                <w:rFonts w:ascii="Times New Roman" w:hAnsi="Times New Roman"/>
                <w:color w:val="000000"/>
                <w:sz w:val="18"/>
              </w:rPr>
              <w:t> </w:t>
            </w:r>
            <w:r>
              <w:rPr>
                <w:rFonts w:ascii="Times New Roman" w:hAnsi="Times New Roman"/>
                <w:b/>
                <w:i/>
                <w:color w:val="000000"/>
                <w:sz w:val="18"/>
              </w:rPr>
              <w:t>(Date of Action)</w:t>
            </w:r>
          </w:p>
        </w:tc>
        <w:tc>
          <w:tcPr>
            <w:tcW w:w="1369"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Type of Trading Arrangement</w:t>
            </w:r>
          </w:p>
        </w:tc>
        <w:tc>
          <w:tcPr>
            <w:tcW w:w="1395"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3759" w:type="dxa"/>
            <w:tcBorders>
              <w:top w:val="single" w:sz="18" w:space="0" w:color="000000"/>
              <w:bottom w:val="single" w:sz="4" w:space="0" w:color="000000"/>
              <w:right w:val="single" w:sz="4"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226" w:type="dxa"/>
            <w:tcBorders>
              <w:top w:val="single" w:sz="18" w:space="0" w:color="000000"/>
              <w:bottom w:val="single" w:sz="4" w:space="0" w:color="000000"/>
              <w:right w:val="single" w:sz="18" w:space="0" w:color="000000"/>
            </w:tcBorders>
            <w:shd w:fill="A6A6A6"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1172" w:type="dxa"/>
            <w:tcBorders>
              <w:left w:val="single" w:sz="18" w:space="0" w:color="000000"/>
              <w:bottom w:val="single" w:sz="18"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Jesse Goodman</w:t>
            </w:r>
            <w:r>
              <w:rPr>
                <w:rFonts w:ascii="Times New Roman" w:hAnsi="Times New Roman"/>
                <w:color w:val="000000"/>
                <w:sz w:val="20"/>
              </w:rPr>
              <w:t xml:space="preserve"> </w:t>
            </w:r>
            <w:r>
              <w:rPr>
                <w:rFonts w:ascii="Times New Roman" w:hAnsi="Times New Roman"/>
                <w:i/>
                <w:color w:val="000000"/>
                <w:sz w:val="18"/>
              </w:rPr>
              <w:t>(Director)</w:t>
            </w:r>
          </w:p>
        </w:tc>
        <w:tc>
          <w:tcPr>
            <w:tcW w:w="1284"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Adoption</w:t>
            </w:r>
            <w:r>
              <w:rPr>
                <w:rFonts w:ascii="Times New Roman" w:hAnsi="Times New Roman"/>
                <w:color w:val="000000"/>
                <w:sz w:val="20"/>
              </w:rPr>
              <w:t xml:space="preserve"> </w:t>
            </w:r>
            <w:r>
              <w:rPr>
                <w:rFonts w:ascii="Times New Roman" w:hAnsi="Times New Roman"/>
                <w:i/>
                <w:color w:val="000000"/>
                <w:sz w:val="18"/>
              </w:rPr>
              <w:t>(March 31, 2025)</w:t>
            </w:r>
          </w:p>
        </w:tc>
        <w:tc>
          <w:tcPr>
            <w:tcW w:w="1369"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10b5-1 trading arrangement</w:t>
            </w:r>
          </w:p>
        </w:tc>
        <w:tc>
          <w:tcPr>
            <w:tcW w:w="1395"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Sale</w:t>
            </w:r>
          </w:p>
        </w:tc>
        <w:tc>
          <w:tcPr>
            <w:tcW w:w="3759" w:type="dxa"/>
            <w:tcBorders>
              <w:bottom w:val="single" w:sz="18"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Until the earlier of (a) August 5, 2025; (b) the first date on which all trades have been executed or all trading orders related to such trades have expired; and (c) the date on which the plan holder gives notice to terminate</w:t>
            </w:r>
            <w:r>
              <w:rPr>
                <w:rFonts w:ascii="Times New Roman" w:hAnsi="Times New Roman"/>
                <w:color w:val="000000"/>
                <w:sz w:val="20"/>
              </w:rPr>
              <w:t> </w:t>
            </w:r>
            <w:r>
              <w:rPr>
                <w:rFonts w:ascii="Times New Roman" w:hAnsi="Times New Roman"/>
                <w:color w:val="000000"/>
                <w:sz w:val="18"/>
              </w:rPr>
              <w:t>the plan.</w:t>
            </w:r>
          </w:p>
        </w:tc>
        <w:tc>
          <w:tcPr>
            <w:tcW w:w="1226" w:type="dxa"/>
            <w:tcBorders>
              <w:bottom w:val="single" w:sz="18" w:space="0" w:color="000000"/>
              <w:right w:val="single" w:sz="18"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3,094</w:t>
            </w:r>
          </w:p>
        </w:tc>
      </w:tr>
    </w:tbl>
    <w:p>
      <w:pPr>
        <w:pStyle w:val="TextBody"/>
        <w:bidi w:val="0"/>
        <w:spacing w:before="120" w:after="283"/>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bookmarkStart w:id="17" w:name="item_6_exhibits_"/>
      <w:bookmarkEnd w:id="17"/>
      <w:r>
        <w:rPr>
          <w:rFonts w:ascii="Times New Roman" w:hAnsi="Times New Roman"/>
          <w:b/>
          <w:color w:val="000000"/>
          <w:sz w:val="20"/>
        </w:rPr>
        <w:t>Item 6. Exhibits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exhibits are incorporated by reference or filed as part of this report.</w:t>
      </w:r>
    </w:p>
    <w:tbl>
      <w:tblPr>
        <w:tblW w:w="10205" w:type="dxa"/>
        <w:jc w:val="left"/>
        <w:tblInd w:w="0" w:type="dxa"/>
        <w:tblLayout w:type="fixed"/>
        <w:tblCellMar>
          <w:top w:w="28" w:type="dxa"/>
          <w:left w:w="28" w:type="dxa"/>
          <w:bottom w:w="28" w:type="dxa"/>
          <w:right w:w="28" w:type="dxa"/>
        </w:tblCellMar>
      </w:tblPr>
      <w:tblGrid>
        <w:gridCol w:w="680"/>
        <w:gridCol w:w="146"/>
        <w:gridCol w:w="9379"/>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68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jc w:val="left"/>
              <w:rPr/>
            </w:pPr>
            <w:hyperlink r:id="rId2">
              <w:r>
                <w:rPr>
                  <w:rStyle w:val="InternetLink"/>
                  <w:rFonts w:ascii="Times New Roman" w:hAnsi="Times New Roman"/>
                  <w:color w:val="0000FF"/>
                  <w:sz w:val="20"/>
                  <w:u w:val="single"/>
                </w:rPr>
                <w:t>Second Amended and Restated Certificate of Incorporation of the Registrant. (incorporated by reference to Exhibit 3.1 to the Registrant's Annual Report on Form 10-K (File No. 001-37766) filed with the Securities and Exchange Commission on February 27, 2025)</w:t>
              </w:r>
            </w:hyperlink>
            <w:r>
              <w:rPr>
                <w:rFonts w:ascii="Times New Roman" w:hAnsi="Times New Roman"/>
                <w:color w:val="000000"/>
                <w:sz w:val="20"/>
              </w:rPr>
              <w:t>.</w:t>
            </w:r>
          </w:p>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By-laws of the Registrant dated April 3, 2025 (incorporated by reference to Exhibit 3.1 to the Registrant’s Current Report on Form 8-K (File No. 001-37766) filed with the Securities and Exchange Commission on April 7, 2025)</w:t>
              </w:r>
            </w:hyperlink>
            <w:r>
              <w:rPr>
                <w:rFonts w:ascii="Times New Roman" w:hAnsi="Times New Roman"/>
                <w:color w:val="000000"/>
                <w:sz w:val="20"/>
              </w:rPr>
              <w:t xml:space="preserve">. </w:t>
            </w:r>
          </w:p>
        </w:tc>
      </w:tr>
      <w:tr>
        <w:trPr/>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Lease Agreement by and between the Registrant and ARE-Tech Square, LLC, dated as of February 18, 2025 (incorporated by reference to Exhibit 10.31 to the Registrant’s Annual Report on Form 10-K (File No. 001-37766) filed with the Securities and Exchange Commission on February 27, 2025).</w:t>
              </w:r>
            </w:hyperlink>
          </w:p>
        </w:tc>
      </w:tr>
      <w:tr>
        <w:trPr/>
        <w:tc>
          <w:tcPr>
            <w:tcW w:w="6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Second Amendment to Lease Agreement by and between the Registrant and ARE-Winter Street Property, LLC, dated as of February 18, 2025 (incorporated by reference to Exhibit 10.32 to the Registrant’s Annual Report on Form 10-K (File No. 001-37766) filed with the Securities and Exchange Commission on February 27, 2025)</w:t>
              </w:r>
            </w:hyperlink>
            <w:r>
              <w:rPr>
                <w:rFonts w:ascii="Times New Roman" w:hAnsi="Times New Roman"/>
                <w:color w:val="000000"/>
                <w:sz w:val="20"/>
              </w:rPr>
              <w:t xml:space="preserve">. </w:t>
            </w:r>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hyperlink w:anchor="ntla-ex31_1.htm">
              <w:r>
                <w:rPr>
                  <w:rStyle w:val="InternetLink"/>
                  <w:rFonts w:ascii="Times New Roman" w:hAnsi="Times New Roman"/>
                  <w:color w:val="0000FF"/>
                  <w:sz w:val="20"/>
                  <w:u w:val="single"/>
                </w:rPr>
                <w:t>Certification of the Chief Executive Officer pursuant to Rules 13a-14(a) or 15d-14(a) of the Securities Exchange Act of 1934, as adopted pursuant to Section 302 of the Sarbanes-Oxley Act of 2002. (1)</w:t>
              </w:r>
            </w:hyperlink>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hyperlink w:anchor="ntla-ex31_2.htm">
              <w:r>
                <w:rPr>
                  <w:rStyle w:val="InternetLink"/>
                  <w:rFonts w:ascii="Times New Roman" w:hAnsi="Times New Roman"/>
                  <w:color w:val="0000FF"/>
                  <w:sz w:val="20"/>
                  <w:u w:val="single"/>
                </w:rPr>
                <w:t>Certification of the Chief Financial Officer pursuant to Rules 13a-14(a) or 15d-14(a) of the Securities Exchange Act of 1934, as adopted pursuant to Section 302 of the Sarbanes-Oxley Act of 2002. (1)</w:t>
              </w:r>
            </w:hyperlink>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hyperlink w:anchor="ntla-ex32_1.htm">
              <w:r>
                <w:rPr>
                  <w:rStyle w:val="InternetLink"/>
                  <w:rFonts w:ascii="Times New Roman" w:hAnsi="Times New Roman"/>
                  <w:color w:val="0000FF"/>
                  <w:sz w:val="20"/>
                  <w:u w:val="single"/>
                </w:rPr>
                <w:t>Certifications pursuant to 18 U.S.C. Section 1350, as adopted pursuant to Section 906 of The Sarbanes-Oxley Act of 2002, by John M. Leonard, M.D., President and Chief Executive Officer of the Company, and Edward J. Dulac III, Executive Vice President, Chief Financial Officer of the Company. (2)</w:t>
              </w:r>
            </w:hyperlink>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(1)</w:t>
            </w:r>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 (1)</w:t>
            </w:r>
          </w:p>
        </w:tc>
      </w:tr>
      <w:tr>
        <w:trPr/>
        <w:tc>
          <w:tcPr>
            <w:tcW w:w="68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 (1)</w:t>
            </w:r>
          </w:p>
        </w:tc>
      </w:tr>
    </w:tbl>
    <w:p>
      <w:pPr>
        <w:pStyle w:val="TextBody"/>
        <w:pBdr>
          <w:bottom w:val="single" w:sz="4" w:space="1" w:color="000000"/>
        </w:pBdr>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with this Quarterly Report on Form 10-Q.</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May 8, 2025</w:t>
      </w:r>
    </w:p>
    <w:p>
      <w:pPr>
        <w:pStyle w:val="TextBody"/>
        <w:bidi w:val="0"/>
        <w:jc w:val="both"/>
        <w:rPr/>
      </w:pPr>
      <w:r>
        <w:rPr/>
        <w:t> </w:t>
      </w:r>
    </w:p>
    <w:tbl>
      <w:tblPr>
        <w:tblW w:w="5000" w:type="dxa"/>
        <w:jc w:val="left"/>
        <w:tblInd w:w="0" w:type="dxa"/>
        <w:tblLayout w:type="fixed"/>
        <w:tblCellMar>
          <w:top w:w="28" w:type="dxa"/>
          <w:left w:w="28" w:type="dxa"/>
          <w:bottom w:w="28" w:type="dxa"/>
          <w:right w:w="28" w:type="dxa"/>
        </w:tblCellMar>
      </w:tblPr>
      <w:tblGrid>
        <w:gridCol w:w="161"/>
        <w:gridCol w:w="146"/>
        <w:gridCol w:w="406"/>
        <w:gridCol w:w="146"/>
        <w:gridCol w:w="4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69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INTELLIA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M. Leonard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John M. Leonard, M.D.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Edward J. Dulac III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Edward J. Dulac III</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 Michael P. Dube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P. Dube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Vice President, Chief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Accounting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bookmarkStart w:id="19" w:name="ntla-ex31_1.htm"/>
      <w:bookmarkStart w:id="20" w:name="ksntla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 RULE 15d-14(a) OF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John M. Leonard, M.D., certify that: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 have reviewed this Quarterly Report on Form 10-Q of Intellia Therapeutics, Inc.;</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May 8, 2025</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ntla-ex31_2.htm"/>
      <w:bookmarkStart w:id="22" w:name="ksntla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 RULE 15d-14(a) OF THE SECURITIES EXCHANGE ACT OF 1934, AS AMENDED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Edward J. Dulac III, certify that: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Intellia Therapeutics,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May 8, 2025</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J. Dulac III</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ntla-ex32_1.htm"/>
      <w:bookmarkStart w:id="24" w:name="ksntla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CEO AND CFO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this Quarterly Report on Form 10-Q of Intellia Therapeutics, Inc. (the “Company”) for the period ended March 31, 2025, as filed with the Securities and Exchange Commission on the date hereof (the “Report”), each of the undersigned, John M. Leonard, M.D., President and Chief Executive Officer (Principal Executive Officer) of the Company, and Edward J. Dulac III, Executive Vice President and Chief Financial Officer (Principal Financial Officer) of the Company, hereby certifies, pursuant to 18 U.S.C. (section) 1350, as adopted pursuant to (section) 906 of the Sarbanes-Oxley Act of 2002, that to the best of his knowledge: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Dated: May 8, 2025</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 Leonard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M. Leonard, M.D.</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Edward J. Dulac III</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J. Dulac III</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2130/000095017025029007/ntla-ex3_1.htm" TargetMode="External"/><Relationship Id="rId3" Type="http://schemas.openxmlformats.org/officeDocument/2006/relationships/hyperlink" Target="https://www.sec.gov/Archives/edgar/data/1652130/000119312525073904/d901196dex31.htm" TargetMode="External"/><Relationship Id="rId4" Type="http://schemas.openxmlformats.org/officeDocument/2006/relationships/hyperlink" Target="https://www.sec.gov/Archives/edgar/data/1652130/000095017025029007/ntla-ex10_31.htm" TargetMode="External"/><Relationship Id="rId5" Type="http://schemas.openxmlformats.org/officeDocument/2006/relationships/hyperlink" Target="https://www.sec.gov/Archives/edgar/data/1652130/000095017025029007/ntla-ex10_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52803</Words>
  <Characters>298112</Characters>
  <CharactersWithSpaces>351222</CharactersWithSpaces>
  <Paragraphs>4612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