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ntla-20260609.htm"/>
      <w:bookmarkStart w:id="1" w:name="ksntla20260609"/>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09,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INTELLIA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001-37766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36-4785571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 Erie Street, Suite 130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857</w:t>
            </w:r>
            <w:r>
              <w:rPr>
                <w:rFonts w:ascii="Times New Roman" w:hAnsi="Times New Roman"/>
                <w:color w:val="000000"/>
                <w:sz w:val="20"/>
              </w:rPr>
              <w:t xml:space="preserve"> </w:t>
            </w:r>
            <w:r>
              <w:rPr>
                <w:rFonts w:ascii="Times New Roman" w:hAnsi="Times New Roman"/>
                <w:b/>
                <w:color w:val="000000"/>
                <w:sz w:val="20"/>
              </w:rPr>
              <w:t>285-6200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NTLA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9, 2026, Intellia Therapeutics, Inc. (the "Company") held its Annual Meeting to consider and vote on the three proposals set forth below, each of which is described in detail in the Proxy Statement. The following is a summary of the matters voted on at the Annual Meeting.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7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stockholders of the Company elected each of Muna Bhanji, R.Ph., Brian Goff and Jesse Goodman, M.D., M.P.H., as a class I director, for a three-year term ending at the annual meeting of stockholders to be held in 2029 and until his or her successor has been duly elected and qualified or until his or her earlier resignation or removal. The results of the stockholders’ vote with respect to the election of the class I directors were as follows: </w:t>
            </w:r>
          </w:p>
        </w:tc>
      </w:tr>
    </w:tbl>
    <w:p>
      <w:pPr>
        <w:pStyle w:val="TextBody"/>
        <w:bidi w:val="0"/>
        <w:jc w:val="left"/>
        <w:rPr/>
      </w:pPr>
      <w:r>
        <w:rPr/>
        <w:t> </w:t>
      </w:r>
    </w:p>
    <w:tbl>
      <w:tblPr>
        <w:tblW w:w="8087" w:type="dxa"/>
        <w:jc w:val="left"/>
        <w:tblInd w:w="0" w:type="dxa"/>
        <w:tblLayout w:type="fixed"/>
        <w:tblCellMar>
          <w:top w:w="28" w:type="dxa"/>
          <w:left w:w="28" w:type="dxa"/>
          <w:bottom w:w="28" w:type="dxa"/>
          <w:right w:w="28" w:type="dxa"/>
        </w:tblCellMar>
      </w:tblPr>
      <w:tblGrid>
        <w:gridCol w:w="2506"/>
        <w:gridCol w:w="146"/>
        <w:gridCol w:w="146"/>
        <w:gridCol w:w="1036"/>
        <w:gridCol w:w="146"/>
        <w:gridCol w:w="146"/>
        <w:gridCol w:w="146"/>
        <w:gridCol w:w="1036"/>
        <w:gridCol w:w="146"/>
        <w:gridCol w:w="146"/>
        <w:gridCol w:w="146"/>
        <w:gridCol w:w="676"/>
        <w:gridCol w:w="146"/>
        <w:gridCol w:w="146"/>
        <w:gridCol w:w="146"/>
        <w:gridCol w:w="1036"/>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Non-Votes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Muna Bhanji, R.Ph.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57,065,465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30,124,178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Goff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46,090,644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12,582,130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30,124,178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Jesse Goodman, M.D., M.P.H.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43,004,221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15,686,289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30,124,178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34"/>
        <w:gridCol w:w="98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4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stockholders of the Company ratified the appointment of Deloitte &amp; Touche LLP as the Company’s independent registered public accounting firm for the fiscal year ending December 31, 2026. The results of the stockholders’ vote with respect to such ratification were as follows: </w:t>
            </w:r>
          </w:p>
        </w:tc>
      </w:tr>
    </w:tbl>
    <w:tbl>
      <w:tblPr>
        <w:tblW w:w="5094" w:type="dxa"/>
        <w:jc w:val="left"/>
        <w:tblInd w:w="0" w:type="dxa"/>
        <w:tblLayout w:type="fixed"/>
        <w:tblCellMar>
          <w:top w:w="28" w:type="dxa"/>
          <w:left w:w="28" w:type="dxa"/>
          <w:bottom w:w="28" w:type="dxa"/>
          <w:right w:w="28" w:type="dxa"/>
        </w:tblCellMar>
      </w:tblPr>
      <w:tblGrid>
        <w:gridCol w:w="161"/>
        <w:gridCol w:w="1036"/>
        <w:gridCol w:w="146"/>
        <w:gridCol w:w="146"/>
        <w:gridCol w:w="146"/>
        <w:gridCol w:w="781"/>
        <w:gridCol w:w="146"/>
        <w:gridCol w:w="146"/>
        <w:gridCol w:w="146"/>
        <w:gridCol w:w="781"/>
        <w:gridCol w:w="146"/>
        <w:gridCol w:w="146"/>
        <w:gridCol w:w="456"/>
        <w:gridCol w:w="520"/>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Non-Votes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87,833,534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21"/>
        <w:gridCol w:w="9860"/>
      </w:tblGrid>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6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stockholders of the Company approved, on a non-binding advisory basis, the compensation of our named executive officers. The results of the stockholders’ vote with respect to the approval of the compensation of our named executive officers were as follows: </w:t>
            </w:r>
          </w:p>
        </w:tc>
      </w:tr>
    </w:tbl>
    <w:p>
      <w:pPr>
        <w:pStyle w:val="TextBody"/>
        <w:bidi w:val="0"/>
        <w:jc w:val="left"/>
        <w:rPr/>
      </w:pPr>
      <w:r>
        <w:rPr/>
        <w:t> </w:t>
      </w:r>
    </w:p>
    <w:tbl>
      <w:tblPr>
        <w:tblW w:w="5555" w:type="dxa"/>
        <w:jc w:val="left"/>
        <w:tblInd w:w="0" w:type="dxa"/>
        <w:tblLayout w:type="fixed"/>
        <w:tblCellMar>
          <w:top w:w="28" w:type="dxa"/>
          <w:left w:w="28" w:type="dxa"/>
          <w:bottom w:w="28" w:type="dxa"/>
          <w:right w:w="28" w:type="dxa"/>
        </w:tblCellMar>
      </w:tblPr>
      <w:tblGrid>
        <w:gridCol w:w="161"/>
        <w:gridCol w:w="1036"/>
        <w:gridCol w:w="146"/>
        <w:gridCol w:w="146"/>
        <w:gridCol w:w="146"/>
        <w:gridCol w:w="1036"/>
        <w:gridCol w:w="146"/>
        <w:gridCol w:w="146"/>
        <w:gridCol w:w="146"/>
        <w:gridCol w:w="781"/>
        <w:gridCol w:w="146"/>
        <w:gridCol w:w="146"/>
        <w:gridCol w:w="146"/>
        <w:gridCol w:w="103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Non-Votes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44,806,637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13,821,404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30,124,178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other matters were submitted to or voted on by the Company’s stockholders at the Annual Meeting.</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53"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1741"/>
        <w:gridCol w:w="146"/>
        <w:gridCol w:w="406"/>
        <w:gridCol w:w="370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Intellia Therapeutics, Inc.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M. Leonard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John M. Leonard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 and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3518</Characters>
  <CharactersWithSpaces>4214</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