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36-4785571</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40 Erie Street, Suite 130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10, 2024, Intellia Therapeutics, Inc. (the “Company” or “Intellia”) appointed Michael P. Dube, 46, as principal accounting officer of the Company. Mr. Dube joined the Company in September 2023 and is currently the Vice President, Chief Accounting Officer of the Company.</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Prior to Intellia, Mr. Dube was with Abiomed, Inc. from 2012 to 2023, serving in several finance and accounting roles of increasing responsibility, ultimately holding the position of Global Corporate Controller. Mr. Dube is a certified public accountant and began his career in public accounting at Deloitte &amp; Touche LLP, where he spent 10 years within the audit &amp; assurance practice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97" w:right="6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20955</wp:posOffset>
            </wp:positionV>
            <wp:extent cx="6052185" cy="1054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218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Intellia Therapeutics Announces Publication of Positive Interim Phase 1 Data for NTLA-2002 in Patients with Hereditary Angioedema in the New England Journal of Medicine</w:t>
      </w:r>
    </w:p>
    <w:p>
      <w:pPr>
        <w:spacing w:after="0" w:line="27" w:lineRule="exact"/>
        <w:rPr>
          <w:sz w:val="20"/>
          <w:szCs w:val="20"/>
          <w:color w:val="auto"/>
        </w:rPr>
      </w:pPr>
    </w:p>
    <w:p>
      <w:pPr>
        <w:ind w:left="380" w:right="460" w:hanging="372"/>
        <w:spacing w:after="0" w:line="256" w:lineRule="auto"/>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Data reinforce the potential of NTLA-2002 to eliminate angioedema attacks in people living with hereditary angioedema (HAE) after a single dose</w:t>
      </w:r>
    </w:p>
    <w:p>
      <w:pPr>
        <w:spacing w:after="0" w:line="48" w:lineRule="exact"/>
        <w:rPr>
          <w:rFonts w:ascii="Times New Roman" w:cs="Times New Roman" w:eastAsia="Times New Roman" w:hAnsi="Times New Roman"/>
          <w:sz w:val="20"/>
          <w:szCs w:val="20"/>
          <w:color w:val="auto"/>
        </w:rPr>
      </w:pPr>
    </w:p>
    <w:p>
      <w:pPr>
        <w:ind w:left="380" w:right="840" w:hanging="372"/>
        <w:spacing w:after="0" w:line="283" w:lineRule="auto"/>
        <w:tabs>
          <w:tab w:leader="none" w:pos="38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A single dose of NTLA-2002 led to 95% mean reduction in monthly HAE attack rate with 9 of 10 patients remaining completely attack free following the 16-week primary observation period through the latest follow-up reported</w:t>
      </w:r>
    </w:p>
    <w:p>
      <w:pPr>
        <w:spacing w:after="0" w:line="23"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NTLA-2002 was well-tolerated at all dose levels</w:t>
      </w:r>
    </w:p>
    <w:p>
      <w:pPr>
        <w:spacing w:after="0" w:line="106"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Second </w:t>
      </w:r>
      <w:r>
        <w:rPr>
          <w:rFonts w:ascii="Arial" w:cs="Arial" w:eastAsia="Arial" w:hAnsi="Arial"/>
          <w:sz w:val="20"/>
          <w:szCs w:val="20"/>
          <w:color w:val="auto"/>
        </w:rPr>
        <w:t>NEJM</w:t>
      </w:r>
      <w:r>
        <w:rPr>
          <w:rFonts w:ascii="Arial" w:cs="Arial" w:eastAsia="Arial" w:hAnsi="Arial"/>
          <w:sz w:val="20"/>
          <w:szCs w:val="20"/>
          <w:i w:val="1"/>
          <w:iCs w:val="1"/>
          <w:color w:val="auto"/>
        </w:rPr>
        <w:t xml:space="preserve"> publication of initial clinical data for Intellia’s </w:t>
      </w:r>
      <w:r>
        <w:rPr>
          <w:rFonts w:ascii="Arial" w:cs="Arial" w:eastAsia="Arial" w:hAnsi="Arial"/>
          <w:sz w:val="20"/>
          <w:szCs w:val="20"/>
          <w:color w:val="auto"/>
        </w:rPr>
        <w:t>in vivo</w:t>
      </w:r>
      <w:r>
        <w:rPr>
          <w:rFonts w:ascii="Arial" w:cs="Arial" w:eastAsia="Arial" w:hAnsi="Arial"/>
          <w:sz w:val="20"/>
          <w:szCs w:val="20"/>
          <w:i w:val="1"/>
          <w:iCs w:val="1"/>
          <w:color w:val="auto"/>
        </w:rPr>
        <w:t xml:space="preserve"> CRISPR-based investigational therapies</w:t>
      </w:r>
    </w:p>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 xml:space="preserve">CAMBRIDGE, Mass., Jan. 31, 2024 (GLOBE NEWSWIRE) -- Intellia Therapeutics, Inc. (NASDAQ:NTLA), a leading clinical-stage gene editing company focused on revolutionizing medicine with CRISPR-based therapies, today announced that interim results from the Phase 1 portion of the Phase 1/2 study of NTLA-2002 were published online in the </w:t>
      </w:r>
      <w:r>
        <w:rPr>
          <w:rFonts w:ascii="Arial" w:cs="Arial" w:eastAsia="Arial" w:hAnsi="Arial"/>
          <w:sz w:val="19"/>
          <w:szCs w:val="19"/>
          <w:i w:val="1"/>
          <w:iCs w:val="1"/>
          <w:color w:val="auto"/>
        </w:rPr>
        <w:t>New England Journal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Medicine </w:t>
      </w:r>
      <w:r>
        <w:rPr>
          <w:rFonts w:ascii="Arial" w:cs="Arial" w:eastAsia="Arial" w:hAnsi="Arial"/>
          <w:sz w:val="19"/>
          <w:szCs w:val="19"/>
          <w:color w:val="auto"/>
        </w:rPr>
        <w:t>(</w:t>
      </w:r>
      <w:r>
        <w:rPr>
          <w:rFonts w:ascii="Arial" w:cs="Arial" w:eastAsia="Arial" w:hAnsi="Arial"/>
          <w:sz w:val="19"/>
          <w:szCs w:val="19"/>
          <w:i w:val="1"/>
          <w:iCs w:val="1"/>
          <w:color w:val="auto"/>
        </w:rPr>
        <w:t>NEJM</w:t>
      </w:r>
      <w:r>
        <w:rPr>
          <w:rFonts w:ascii="Arial" w:cs="Arial" w:eastAsia="Arial" w:hAnsi="Arial"/>
          <w:sz w:val="19"/>
          <w:szCs w:val="19"/>
          <w:color w:val="auto"/>
        </w:rPr>
        <w:t>). NTLA-2002 is an investigational</w:t>
      </w:r>
      <w:r>
        <w:rPr>
          <w:rFonts w:ascii="Arial" w:cs="Arial" w:eastAsia="Arial" w:hAnsi="Arial"/>
          <w:sz w:val="19"/>
          <w:szCs w:val="19"/>
          <w:i w:val="1"/>
          <w:iCs w:val="1"/>
          <w:color w:val="auto"/>
        </w:rPr>
        <w:t xml:space="preserve"> in vivo </w:t>
      </w:r>
      <w:r>
        <w:rPr>
          <w:rFonts w:ascii="Arial" w:cs="Arial" w:eastAsia="Arial" w:hAnsi="Arial"/>
          <w:sz w:val="19"/>
          <w:szCs w:val="19"/>
          <w:color w:val="auto"/>
        </w:rPr>
        <w:t>CRISPR-based gene editing therapy in development as a single-dose</w:t>
      </w:r>
      <w:r>
        <w:rPr>
          <w:rFonts w:ascii="Arial" w:cs="Arial" w:eastAsia="Arial" w:hAnsi="Arial"/>
          <w:sz w:val="19"/>
          <w:szCs w:val="19"/>
          <w:i w:val="1"/>
          <w:iCs w:val="1"/>
          <w:color w:val="auto"/>
        </w:rPr>
        <w:t xml:space="preserve"> </w:t>
      </w:r>
      <w:r>
        <w:rPr>
          <w:rFonts w:ascii="Arial" w:cs="Arial" w:eastAsia="Arial" w:hAnsi="Arial"/>
          <w:sz w:val="19"/>
          <w:szCs w:val="19"/>
          <w:color w:val="auto"/>
        </w:rPr>
        <w:t>treatment for hereditary angioedema (HAE), a rare genetic condition that leads to potentially life-threatening swelling attacks.</w:t>
      </w:r>
    </w:p>
    <w:p>
      <w:pPr>
        <w:spacing w:after="0" w:line="162"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 xml:space="preserve">“Despite currently available treatments, people living with hereditary angioedema continue to face frequent anxiety about their next swelling attack. The interim NTLA-2002 clinical data published suggest that a single dose of NTLA-2002 may eliminate angioedema attacks for people suffering from hereditary angioedema,” said Intellia President and Chief Executive Officer John Leonard, M.D. “We are highly encouraged by these data and look forward to presenting extended follow-up from the Phase 1 and results from the Phase 2 portion later this year. Additionally, we remain on track to initiate a global pivotal study for NTLA-2002 in the second half of 2024, subject to regulatory feedback. This marks the second consecutive Intellia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CRISPR-based program to have its initial clinical data published in the </w:t>
      </w:r>
      <w:r>
        <w:rPr>
          <w:rFonts w:ascii="Arial" w:cs="Arial" w:eastAsia="Arial" w:hAnsi="Arial"/>
          <w:sz w:val="20"/>
          <w:szCs w:val="20"/>
          <w:i w:val="1"/>
          <w:iCs w:val="1"/>
          <w:color w:val="auto"/>
        </w:rPr>
        <w:t>New England Journal of Medicine</w:t>
      </w:r>
      <w:r>
        <w:rPr>
          <w:rFonts w:ascii="Arial" w:cs="Arial" w:eastAsia="Arial" w:hAnsi="Arial"/>
          <w:sz w:val="20"/>
          <w:szCs w:val="20"/>
          <w:color w:val="auto"/>
        </w:rPr>
        <w:t>, further supporting the immense potential impact our proprietary gene editing platform could have on the future of human health.”</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The reported data showed that a single dose of NTLA-2002 led to a 95% mean reduction in monthly HAE attack rate across all 10 patients in the Phase 1 portion. Nine out of 10 patients remained completely</w:t>
      </w:r>
    </w:p>
    <w:p>
      <w:pPr>
        <w:spacing w:after="0" w:line="83"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1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4" w:name="page5"/>
    <w:bookmarkEnd w:id="4"/>
    <w:p>
      <w:pPr>
        <w:ind w:right="40"/>
        <w:spacing w:after="0" w:line="234" w:lineRule="auto"/>
        <w:rPr>
          <w:sz w:val="20"/>
          <w:szCs w:val="20"/>
          <w:color w:val="auto"/>
        </w:rPr>
      </w:pPr>
      <w:r>
        <w:rPr>
          <w:rFonts w:ascii="Arial" w:cs="Arial" w:eastAsia="Arial" w:hAnsi="Arial"/>
          <w:sz w:val="20"/>
          <w:szCs w:val="20"/>
          <w:color w:val="auto"/>
        </w:rPr>
        <w:t>attack-free following the 16-week primary observation period through the latest follow-up. Further, all patients who discontinued concomitant long-term HAE prophylaxis treatment after NTLA-2002 administration (n=6) have reported no HAE attacks since discontinuation. NTLA-2002 has been well tolerated at all dose levels. The most frequent adverse events reported were mild, transient infusion-related reactions and fatigue. The data were previously shared in a late-breaking presentation at the 2023 European Academy of Allergy and Clinical Immunology Hybrid Congress.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NTLA-2002 Clinical Program</w:t>
      </w:r>
    </w:p>
    <w:p>
      <w:pPr>
        <w:spacing w:after="0" w:line="6"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Intellia’s ongoing Phase 1/2 study is evaluating the safety and activity of NTLA-2002 in adults with Type I or Type II hereditary angioedema (HAE). The Phase 1/2 is an international, open-label study designed to identify a dose level of NTLA-2002 for further evaluation in a Phase 3 study. Enrollment of the Phase 1/2 is complete. Intellia plans to initiate the global, pivotal Phase 3 study in the second half of 2024, subject to regulatory feedback. Visit clinicaltrials.gov (NCT05120830) for more details.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NTLA-2002</w:t>
      </w:r>
    </w:p>
    <w:p>
      <w:pPr>
        <w:spacing w:after="0" w:line="96"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 xml:space="preserve">Based on Nobel-prize winning CRISPR/Cas9 technology, NTLA-2002 has the potential to become the first one-time treatment for hereditary angioedema (HAE). NTLA-2002 is designed to prevent HAE attacks by inactivating the </w:t>
      </w:r>
      <w:r>
        <w:rPr>
          <w:rFonts w:ascii="Arial" w:cs="Arial" w:eastAsia="Arial" w:hAnsi="Arial"/>
          <w:sz w:val="19"/>
          <w:szCs w:val="19"/>
          <w:i w:val="1"/>
          <w:iCs w:val="1"/>
          <w:color w:val="auto"/>
        </w:rPr>
        <w:t>kallikrein B1 (KLKB1)</w:t>
      </w:r>
      <w:r>
        <w:rPr>
          <w:rFonts w:ascii="Arial" w:cs="Arial" w:eastAsia="Arial" w:hAnsi="Arial"/>
          <w:sz w:val="19"/>
          <w:szCs w:val="19"/>
          <w:color w:val="auto"/>
        </w:rPr>
        <w:t xml:space="preserve"> gene, which encodes for prekallikrein, the kallikrein precursor protein. Interim Phase 1 clinical data showed dramatic reductions in attack rate, as well as consistent, deep and durable reductions in kallikrein levels. NTLA-2002 has received five notable regulatory designations, including Orphan Drug and RMAT Designation by the U.S. Food and Drug Administration, the Innovation Passport by the U.K. Medicines and Healthcare products Regulatory Agency (MHRA), Priority Medicines (PRIME) Designation by the European Medicines Agency, as well as Orphan Drug Designation by the European Commission.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Hereditary Angioedema</w:t>
      </w:r>
    </w:p>
    <w:p>
      <w:pPr>
        <w:spacing w:after="0" w:line="96"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Hereditary angioedema (HAE) is a rare, genetic disease characterized by severe, recurring and unpredictable inflammatory attacks in various organs and tissues of the body, which can be painful, debilitating and life-threatening. It is estimated that one in 50,000 people are affected by HAE. Although there is no known cure for HAE, there are preventative and on-demand treatment options to help manage the condition, including long- and short-term prophylaxis used to prevent swelling attacks. Current treatment options often include life-long therapies, which may require chronic intravenous (IV) or subcutaneous (SC) administration as often as twice per week or daily oral administration to ensure constant pathway suppression for disease control. Despite chronic administration, breakthrough attacks still occur. Kallikrein inhibition is a clinically validated strategy for the preventive treatment of HAE attacks.</w:t>
      </w:r>
    </w:p>
    <w:p>
      <w:pPr>
        <w:spacing w:after="0" w:line="101"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2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6" w:right="4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Intellia Therapeutics</w:t>
      </w:r>
    </w:p>
    <w:p>
      <w:pPr>
        <w:spacing w:after="0" w:line="9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 xml:space="preserve">Intellia Therapeutics, Inc. (NASDAQ:NTLA) is a leading clinical-stage gene editing company focused on revolutionizing medicine with CRISPR-based therapies. The company’s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programs use CRISPR to enable precise editing of disease-causing genes directly inside the human body. Intellia’s </w:t>
      </w:r>
      <w:r>
        <w:rPr>
          <w:rFonts w:ascii="Arial" w:cs="Arial" w:eastAsia="Arial" w:hAnsi="Arial"/>
          <w:sz w:val="20"/>
          <w:szCs w:val="20"/>
          <w:i w:val="1"/>
          <w:iCs w:val="1"/>
          <w:color w:val="auto"/>
        </w:rPr>
        <w:t>ex vivo</w:t>
      </w:r>
      <w:r>
        <w:rPr>
          <w:rFonts w:ascii="Arial" w:cs="Arial" w:eastAsia="Arial" w:hAnsi="Arial"/>
          <w:sz w:val="20"/>
          <w:szCs w:val="20"/>
          <w:color w:val="auto"/>
        </w:rPr>
        <w:t xml:space="preserve"> programs use CRISPR to engineer human cells outside the body for the treatment of cancer and autoimmune diseases.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Learn more at intelliatx.com and follow us @intelliatx.</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96"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regarding: the safety, efficacy, success and advancement of its clinical program for NTLA-2002 for the treatment of hereditary angioedema (HAE) pursuant to its clinical trial applications and investigational new drug application, including the initiation of a global pivotal study for NTLA-2002 in the second half of 2024 subject to regulatory feedback, the potential for NTLA-2002 to eliminate angioedema attacks after a single dose in people living with HAE, and the expected timing of future data releases such as the presentation of extended follow-up data from the Phase 1 portion and results from the Phase 2 portion of the Phase 1/2 study later this year; and the potential impact its proprietary gene editing platform could have on the future of human health.</w:t>
      </w:r>
    </w:p>
    <w:p>
      <w:pPr>
        <w:spacing w:after="0" w:line="68"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related to Intellia’s ability to protect and maintain its intellectual property position; risks related to Intellia’s relationship with third parties, including its licensors and licensees; risks related to the ability of its licensors to protect and maintain their intellectual property position; uncertainties related to the authorization, initiation, enrollment and conduct of studies and other development requirements for its product candidates, including NTLA-2002; the risk that NTLA-2002 will not be successfully developed and commercialized; and the risk that the results of preclinical studies or clinical studies, such as the clinical study of NTLA-2002, will not be predictive of future results in connection with future studies for the same product candidate or Intellia’s other product candidates. For a discussion of these and other risks and uncertainties, and other important factors, any of which could cause Intellia’s actual results to differ from those</w:t>
      </w:r>
    </w:p>
    <w:p>
      <w:pPr>
        <w:spacing w:after="0" w:line="106"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3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 w:name="page7"/>
    <w:bookmarkEnd w:id="6"/>
    <w:p>
      <w:pPr>
        <w:ind w:right="180"/>
        <w:spacing w:after="0" w:line="237" w:lineRule="auto"/>
        <w:rPr>
          <w:sz w:val="20"/>
          <w:szCs w:val="20"/>
          <w:color w:val="auto"/>
        </w:rPr>
      </w:pPr>
      <w:r>
        <w:rPr>
          <w:rFonts w:ascii="Arial" w:cs="Arial" w:eastAsia="Arial" w:hAnsi="Arial"/>
          <w:sz w:val="20"/>
          <w:szCs w:val="20"/>
          <w:color w:val="auto"/>
        </w:rPr>
        <w:t>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press release is as of the date of the release, and Intellia undertakes no duty to update this information unless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Intellia Contacts: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Ian Karp</w:t>
      </w:r>
    </w:p>
    <w:p>
      <w:pPr>
        <w:spacing w:after="0" w:line="4" w:lineRule="exact"/>
        <w:rPr>
          <w:sz w:val="20"/>
          <w:szCs w:val="20"/>
          <w:color w:val="auto"/>
        </w:rPr>
      </w:pPr>
    </w:p>
    <w:p>
      <w:pPr>
        <w:ind w:right="4700"/>
        <w:spacing w:after="0" w:line="239" w:lineRule="auto"/>
        <w:rPr>
          <w:sz w:val="20"/>
          <w:szCs w:val="20"/>
          <w:color w:val="auto"/>
        </w:rPr>
      </w:pPr>
      <w:r>
        <w:rPr>
          <w:rFonts w:ascii="Arial" w:cs="Arial" w:eastAsia="Arial" w:hAnsi="Arial"/>
          <w:sz w:val="20"/>
          <w:szCs w:val="20"/>
          <w:color w:val="auto"/>
        </w:rPr>
        <w:t>Senior Vice President, Investor Relations and Corporate Communications ian.karp@intelliatx.com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Lina Li</w:t>
      </w:r>
    </w:p>
    <w:p>
      <w:pPr>
        <w:spacing w:after="0" w:line="4" w:lineRule="exact"/>
        <w:rPr>
          <w:sz w:val="20"/>
          <w:szCs w:val="20"/>
          <w:color w:val="auto"/>
        </w:rPr>
      </w:pPr>
    </w:p>
    <w:p>
      <w:pPr>
        <w:ind w:right="5280"/>
        <w:spacing w:after="0" w:line="239" w:lineRule="auto"/>
        <w:rPr>
          <w:sz w:val="20"/>
          <w:szCs w:val="20"/>
          <w:color w:val="auto"/>
        </w:rPr>
      </w:pPr>
      <w:r>
        <w:rPr>
          <w:rFonts w:ascii="Arial" w:cs="Arial" w:eastAsia="Arial" w:hAnsi="Arial"/>
          <w:sz w:val="20"/>
          <w:szCs w:val="20"/>
          <w:color w:val="auto"/>
        </w:rPr>
        <w:t>Senior Director, Investor Relations and Corporate Communications lina.li@intelliatx.com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Matt Crenson</w:t>
      </w:r>
    </w:p>
    <w:p>
      <w:pPr>
        <w:spacing w:after="0" w:line="226" w:lineRule="auto"/>
        <w:rPr>
          <w:sz w:val="20"/>
          <w:szCs w:val="20"/>
          <w:color w:val="auto"/>
        </w:rPr>
      </w:pPr>
      <w:r>
        <w:rPr>
          <w:rFonts w:ascii="Arial" w:cs="Arial" w:eastAsia="Arial" w:hAnsi="Arial"/>
          <w:sz w:val="20"/>
          <w:szCs w:val="20"/>
          <w:color w:val="auto"/>
        </w:rPr>
        <w:t>Ten Bridge Communications</w:t>
      </w:r>
    </w:p>
    <w:p>
      <w:pPr>
        <w:spacing w:after="0" w:line="225" w:lineRule="auto"/>
        <w:rPr>
          <w:sz w:val="20"/>
          <w:szCs w:val="20"/>
          <w:color w:val="auto"/>
        </w:rPr>
      </w:pPr>
      <w:r>
        <w:rPr>
          <w:rFonts w:ascii="Arial" w:cs="Arial" w:eastAsia="Arial" w:hAnsi="Arial"/>
          <w:sz w:val="20"/>
          <w:szCs w:val="20"/>
          <w:color w:val="auto"/>
        </w:rPr>
        <w:t>media@intelliatx.com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TBCIntellia@tenbridgecommunications.com</w:t>
      </w:r>
    </w:p>
    <w:p>
      <w:pPr>
        <w:spacing w:after="0" w:line="314"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4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8" w:right="4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2024-04-15T15:26:51Z</dcterms:created>
  <dcterms:modified xsi:type="dcterms:W3CDTF">2024-04-15T15:26:51Z</dcterms:modified>
</cp:coreProperties>
</file>