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la-20231231.htm"/>
      <w:bookmarkStart w:id="1" w:name="ksntla20231231"/>
      <w:bookmarkEnd w:id="0"/>
      <w:bookmarkEnd w:id="1"/>
      <w:r>
        <w:rPr/>
        <w:t> </w:t>
      </w:r>
    </w:p>
    <w:p>
      <w:pPr>
        <w:pStyle w:val="TextBody"/>
        <w:pBdr>
          <w:bottom w:val="double" w:sz="6"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0"/>
        </w:rPr>
        <w:t>FORM 10-K</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pBdr/>
              <w:bidi w:val="0"/>
              <w:spacing w:before="0" w:after="283"/>
              <w:ind w:left="0" w:right="0" w:hanging="490"/>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r>
        <w:trPr/>
        <w:tc>
          <w:tcPr>
            <w:tcW w:w="10205" w:type="dxa"/>
            <w:gridSpan w:val="2"/>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For the fiscal year ended December 31, 2023</w:t>
            </w:r>
          </w:p>
        </w:tc>
      </w:tr>
      <w:tr>
        <w:trPr/>
        <w:tc>
          <w:tcPr>
            <w:tcW w:w="821" w:type="dxa"/>
            <w:tcBorders/>
            <w:tcMar>
              <w:top w:w="0" w:type="dxa"/>
              <w:left w:w="0" w:type="dxa"/>
              <w:bottom w:w="0" w:type="dxa"/>
              <w:right w:w="0" w:type="dxa"/>
            </w:tcMar>
            <w:vAlign w:val="center"/>
          </w:tcPr>
          <w:p>
            <w:pPr>
              <w:pStyle w:val="TableContents"/>
              <w:bidi w:val="0"/>
              <w:spacing w:before="6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pBdr/>
              <w:bidi w:val="0"/>
              <w:spacing w:before="60" w:after="283"/>
              <w:ind w:left="0" w:right="0" w:hanging="490"/>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tbl>
      <w:tblPr>
        <w:tblW w:w="3649" w:type="dxa"/>
        <w:jc w:val="left"/>
        <w:tblInd w:w="0" w:type="dxa"/>
        <w:tblLayout w:type="fixed"/>
        <w:tblCellMar>
          <w:top w:w="28" w:type="dxa"/>
          <w:left w:w="28" w:type="dxa"/>
          <w:bottom w:w="28" w:type="dxa"/>
          <w:right w:w="28" w:type="dxa"/>
        </w:tblCellMar>
      </w:tblPr>
      <w:tblGrid>
        <w:gridCol w:w="161"/>
        <w:gridCol w:w="2311"/>
        <w:gridCol w:w="146"/>
        <w:gridCol w:w="146"/>
        <w:gridCol w:w="146"/>
        <w:gridCol w:w="25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transition period from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Commission File Number 001-37766</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INTELLIA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2926"/>
        <w:gridCol w:w="1336"/>
      </w:tblGrid>
      <w:tr>
        <w:trPr/>
        <w:tc>
          <w:tcPr>
            <w:tcW w:w="292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3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36-4785571</w:t>
            </w:r>
          </w:p>
        </w:tc>
      </w:tr>
      <w:tr>
        <w:trPr/>
        <w:tc>
          <w:tcPr>
            <w:tcW w:w="292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292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40 Erie Street, Suite 130</w:t>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Cambridge, Massachusetts</w:t>
            </w:r>
          </w:p>
        </w:tc>
        <w:tc>
          <w:tcPr>
            <w:tcW w:w="13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02139</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3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16"/>
        </w:rPr>
        <w:t>(857) 285-6200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7863" w:type="dxa"/>
        <w:jc w:val="left"/>
        <w:tblInd w:w="0" w:type="dxa"/>
        <w:tblLayout w:type="fixed"/>
        <w:tblCellMar>
          <w:top w:w="28" w:type="dxa"/>
          <w:left w:w="28" w:type="dxa"/>
          <w:bottom w:w="28" w:type="dxa"/>
          <w:right w:w="28" w:type="dxa"/>
        </w:tblCellMar>
      </w:tblPr>
      <w:tblGrid>
        <w:gridCol w:w="3241"/>
        <w:gridCol w:w="1306"/>
        <w:gridCol w:w="3316"/>
      </w:tblGrid>
      <w:tr>
        <w:trPr/>
        <w:tc>
          <w:tcPr>
            <w:tcW w:w="324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4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3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Trade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of each exchange on which registered</w:t>
            </w:r>
          </w:p>
        </w:tc>
      </w:tr>
      <w:tr>
        <w:trPr/>
        <w:tc>
          <w:tcPr>
            <w:tcW w:w="324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283"/>
              <w:jc w:val="center"/>
              <w:rPr>
                <w:rFonts w:ascii="Times New Roman" w:hAnsi="Times New Roman"/>
                <w:color w:val="000000"/>
                <w:sz w:val="17"/>
              </w:rPr>
            </w:pPr>
            <w:r>
              <w:rPr>
                <w:rFonts w:ascii="Times New Roman" w:hAnsi="Times New Roman"/>
                <w:color w:val="000000"/>
                <w:sz w:val="17"/>
              </w:rPr>
              <w:t>Common Stock, par value $0.0001 per share</w:t>
            </w:r>
          </w:p>
        </w:tc>
        <w:tc>
          <w:tcPr>
            <w:tcW w:w="130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7"/>
              </w:rPr>
            </w:pPr>
            <w:r>
              <w:rPr>
                <w:rFonts w:ascii="Times New Roman" w:hAnsi="Times New Roman"/>
                <w:color w:val="000000"/>
                <w:sz w:val="17"/>
              </w:rPr>
              <w:t>NTLA</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7"/>
              </w:rPr>
            </w:pPr>
            <w:r>
              <w:rPr>
                <w:rFonts w:ascii="Times New Roman" w:hAnsi="Times New Roman"/>
                <w:color w:val="000000"/>
                <w:sz w:val="17"/>
              </w:rPr>
              <w:t>The Nasdaq Global Market</w:t>
            </w:r>
          </w:p>
        </w:tc>
      </w:tr>
    </w:tbl>
    <w:p>
      <w:pPr>
        <w:pStyle w:val="TextBody"/>
        <w:bidi w:val="0"/>
        <w:jc w:val="center"/>
        <w:rPr>
          <w:rFonts w:ascii="Times New Roman" w:hAnsi="Times New Roman"/>
          <w:sz w:val="20"/>
        </w:rPr>
      </w:pPr>
      <w:r>
        <w:rPr>
          <w:rFonts w:ascii="Times New Roman" w:hAnsi="Times New Roman"/>
          <w:b/>
          <w:color w:val="000000"/>
          <w:sz w:val="16"/>
        </w:rPr>
        <w:t>Securities registered pursuant to Section 12(g) of the Act: None</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FF0000"/>
          <w:sz w:val="20"/>
        </w:rPr>
        <w:t xml:space="preserve"> </w:t>
      </w:r>
      <w:r>
        <w:rPr>
          <w:rFonts w:ascii="Times New Roman" w:hAnsi="Times New Roman"/>
          <w:color w:val="000000"/>
          <w:sz w:val="20"/>
        </w:rPr>
        <w:t>☒</w:t>
      </w:r>
      <w:r>
        <w:rPr>
          <w:rFonts w:ascii="Times New Roman" w:hAnsi="Times New Roman"/>
          <w:color w:val="FF0000"/>
          <w:sz w:val="20"/>
        </w:rPr>
        <w:t xml:space="preserve"> </w:t>
      </w:r>
      <w:r>
        <w:rPr>
          <w:rFonts w:ascii="Times New Roman" w:hAnsi="Times New Roman"/>
          <w:color w:val="000000"/>
          <w:sz w:val="16"/>
        </w:rPr>
        <w:t>No ☐</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The aggregate market value of the registrant’s common stock held by non-affiliates of the registrant was approximately $3,565,071,688</w:t>
      </w:r>
      <w:r>
        <w:rPr>
          <w:rFonts w:ascii="Times New Roman" w:hAnsi="Times New Roman"/>
          <w:color w:val="000000"/>
          <w:sz w:val="20"/>
        </w:rPr>
        <w:t xml:space="preserve"> </w:t>
      </w:r>
      <w:r>
        <w:rPr>
          <w:rFonts w:ascii="Times New Roman" w:hAnsi="Times New Roman"/>
          <w:color w:val="000000"/>
          <w:sz w:val="16"/>
        </w:rPr>
        <w:t>as of June 30, 2023 (based on a closing price of $40.78</w:t>
      </w:r>
      <w:r>
        <w:rPr>
          <w:rFonts w:ascii="Times New Roman" w:hAnsi="Times New Roman"/>
          <w:color w:val="FF0000"/>
          <w:sz w:val="20"/>
        </w:rPr>
        <w:t xml:space="preserve"> </w:t>
      </w:r>
      <w:r>
        <w:rPr>
          <w:rFonts w:ascii="Times New Roman" w:hAnsi="Times New Roman"/>
          <w:color w:val="000000"/>
          <w:sz w:val="16"/>
        </w:rPr>
        <w:t>per share as quoted by the Nasdaq Global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The registrant had 96,106,405</w:t>
      </w:r>
      <w:r>
        <w:rPr>
          <w:rFonts w:ascii="Times New Roman" w:hAnsi="Times New Roman"/>
          <w:color w:val="000000"/>
          <w:sz w:val="20"/>
        </w:rPr>
        <w:t xml:space="preserve"> </w:t>
      </w:r>
      <w:r>
        <w:rPr>
          <w:rFonts w:ascii="Times New Roman" w:hAnsi="Times New Roman"/>
          <w:color w:val="000000"/>
          <w:sz w:val="16"/>
        </w:rPr>
        <w:t>shares of Common Stock, $0.0001 par value per share, outstanding as of February 16, 2024.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Part III of this Annual Report on Form 10-K incorporates by reference certain information from the registrant’s definitive Proxy Statement for its 2024 annual meeting of shareholders, which the registrant intends to file pursuant to Regulation 14A with the Securities and Exchange Commission not later than 120 days after the registrant’s fiscal year end of December 31, 2023. Except with respect to information specifically incorporated by reference in this Form 10-K, the Proxy Statement is not deemed to be filed as part of this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Intellia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Annual Report on Form 10-K for the Fiscal Year Ended December 31, 2023</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u w:val="single"/>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18"/>
        <w:gridCol w:w="8676"/>
        <w:gridCol w:w="611"/>
      </w:tblGrid>
      <w:tr>
        <w:trPr/>
        <w:tc>
          <w:tcPr>
            <w:tcW w:w="918" w:type="dxa"/>
            <w:tcBorders/>
            <w:vAlign w:val="center"/>
          </w:tcPr>
          <w:p>
            <w:pPr>
              <w:pStyle w:val="TableContents"/>
              <w:bidi w:val="0"/>
              <w:spacing w:before="0" w:after="283"/>
              <w:jc w:val="left"/>
              <w:rPr>
                <w:sz w:val="4"/>
                <w:szCs w:val="4"/>
              </w:rPr>
            </w:pPr>
            <w:r>
              <w:rPr>
                <w:sz w:val="4"/>
                <w:szCs w:val="4"/>
              </w:rPr>
            </w:r>
          </w:p>
        </w:tc>
        <w:tc>
          <w:tcPr>
            <w:tcW w:w="8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Item No.</w:t>
            </w:r>
          </w:p>
        </w:tc>
        <w:tc>
          <w:tcPr>
            <w:tcW w:w="8676" w:type="dxa"/>
            <w:tcBorders/>
            <w:vAlign w:val="center"/>
          </w:tcPr>
          <w:p>
            <w:pPr>
              <w:pStyle w:val="TableContents"/>
              <w:bidi w:val="0"/>
              <w:spacing w:before="0" w:after="283"/>
              <w:jc w:val="left"/>
              <w:rPr/>
            </w:pPr>
            <w:hyperlink w:anchor="part_i">
              <w:r>
                <w:rPr>
                  <w:rStyle w:val="InternetLink"/>
                  <w:rFonts w:ascii="Times New Roman" w:hAnsi="Times New Roman"/>
                  <w:b/>
                  <w:color w:val="000000"/>
                  <w:sz w:val="20"/>
                </w:rPr>
                <w:t>PART I</w:t>
              </w:r>
            </w:hyperlink>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18" w:type="dxa"/>
            <w:tcBorders/>
            <w:vAlign w:val="center"/>
          </w:tcPr>
          <w:p>
            <w:pPr>
              <w:pStyle w:val="TableContents"/>
              <w:bidi w:val="0"/>
              <w:spacing w:before="0" w:after="283"/>
              <w:jc w:val="left"/>
              <w:rPr/>
            </w:pPr>
            <w:r>
              <w:rPr/>
              <w:t> </w:t>
            </w:r>
          </w:p>
        </w:tc>
        <w:tc>
          <w:tcPr>
            <w:tcW w:w="867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left"/>
              <w:rPr/>
            </w:pPr>
            <w:r>
              <w:rPr/>
              <w:t> </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w:t>
            </w:r>
          </w:p>
        </w:tc>
        <w:tc>
          <w:tcPr>
            <w:tcW w:w="8676" w:type="dxa"/>
            <w:tcBorders/>
            <w:vAlign w:val="center"/>
          </w:tcPr>
          <w:p>
            <w:pPr>
              <w:pStyle w:val="TableContents"/>
              <w:bidi w:val="0"/>
              <w:spacing w:before="0" w:after="283"/>
              <w:ind w:left="144" w:right="0" w:firstLine="144"/>
              <w:jc w:val="left"/>
              <w:rPr/>
            </w:pPr>
            <w:hyperlink w:anchor="item_1_business">
              <w:r>
                <w:rPr>
                  <w:rStyle w:val="InternetLink"/>
                  <w:rFonts w:ascii="Times New Roman" w:hAnsi="Times New Roman"/>
                  <w:color w:val="000000"/>
                  <w:sz w:val="20"/>
                </w:rPr>
                <w:t>Business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1A.</w:t>
            </w:r>
          </w:p>
        </w:tc>
        <w:tc>
          <w:tcPr>
            <w:tcW w:w="8676" w:type="dxa"/>
            <w:tcBorders/>
            <w:vAlign w:val="center"/>
          </w:tcPr>
          <w:p>
            <w:pPr>
              <w:pStyle w:val="TableContents"/>
              <w:bidi w:val="0"/>
              <w:spacing w:before="0" w:after="283"/>
              <w:ind w:left="144" w:right="0" w:firstLine="144"/>
              <w:jc w:val="left"/>
              <w:rPr/>
            </w:pPr>
            <w:hyperlink w:anchor="item_1a_risk_factors">
              <w:r>
                <w:rPr>
                  <w:rStyle w:val="InternetLink"/>
                  <w:rFonts w:ascii="Times New Roman" w:hAnsi="Times New Roman"/>
                  <w:color w:val="000000"/>
                  <w:sz w:val="20"/>
                </w:rPr>
                <w:t>Risk Factors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41</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1B.</w:t>
            </w:r>
          </w:p>
        </w:tc>
        <w:tc>
          <w:tcPr>
            <w:tcW w:w="8676" w:type="dxa"/>
            <w:tcBorders/>
            <w:vAlign w:val="center"/>
          </w:tcPr>
          <w:p>
            <w:pPr>
              <w:pStyle w:val="TableContents"/>
              <w:bidi w:val="0"/>
              <w:spacing w:before="0" w:after="283"/>
              <w:ind w:left="144" w:right="0" w:firstLine="144"/>
              <w:jc w:val="left"/>
              <w:rPr/>
            </w:pPr>
            <w:hyperlink w:anchor="item_1b_unresolved_staff_comments">
              <w:r>
                <w:rPr>
                  <w:rStyle w:val="InternetLink"/>
                  <w:rFonts w:ascii="Times New Roman" w:hAnsi="Times New Roman"/>
                  <w:color w:val="000000"/>
                  <w:sz w:val="20"/>
                </w:rPr>
                <w:t>Unresolved Staff Comments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88</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1C.</w:t>
            </w:r>
          </w:p>
        </w:tc>
        <w:tc>
          <w:tcPr>
            <w:tcW w:w="8676" w:type="dxa"/>
            <w:tcBorders/>
            <w:vAlign w:val="center"/>
          </w:tcPr>
          <w:p>
            <w:pPr>
              <w:pStyle w:val="TableContents"/>
              <w:bidi w:val="0"/>
              <w:spacing w:before="0" w:after="283"/>
              <w:ind w:left="144" w:right="0" w:firstLine="144"/>
              <w:jc w:val="left"/>
              <w:rPr/>
            </w:pPr>
            <w:hyperlink w:anchor="item_1c_cybersecurity">
              <w:r>
                <w:rPr>
                  <w:rStyle w:val="InternetLink"/>
                  <w:rFonts w:ascii="Times New Roman" w:hAnsi="Times New Roman"/>
                  <w:color w:val="000000"/>
                  <w:sz w:val="20"/>
                </w:rPr>
                <w:t>Cybersecurity</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88</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2.</w:t>
            </w:r>
          </w:p>
        </w:tc>
        <w:tc>
          <w:tcPr>
            <w:tcW w:w="8676" w:type="dxa"/>
            <w:tcBorders/>
            <w:vAlign w:val="center"/>
          </w:tcPr>
          <w:p>
            <w:pPr>
              <w:pStyle w:val="TableContents"/>
              <w:bidi w:val="0"/>
              <w:spacing w:before="0" w:after="283"/>
              <w:ind w:left="144" w:right="0" w:firstLine="144"/>
              <w:jc w:val="left"/>
              <w:rPr/>
            </w:pPr>
            <w:hyperlink w:anchor="item_2_properties">
              <w:r>
                <w:rPr>
                  <w:rStyle w:val="InternetLink"/>
                  <w:rFonts w:ascii="Times New Roman" w:hAnsi="Times New Roman"/>
                  <w:color w:val="000000"/>
                  <w:sz w:val="20"/>
                </w:rPr>
                <w:t>Properties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89</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3.</w:t>
            </w:r>
          </w:p>
        </w:tc>
        <w:tc>
          <w:tcPr>
            <w:tcW w:w="8676" w:type="dxa"/>
            <w:tcBorders/>
            <w:vAlign w:val="center"/>
          </w:tcPr>
          <w:p>
            <w:pPr>
              <w:pStyle w:val="TableContents"/>
              <w:bidi w:val="0"/>
              <w:spacing w:before="0" w:after="283"/>
              <w:ind w:left="144" w:right="0" w:firstLine="144"/>
              <w:jc w:val="left"/>
              <w:rPr/>
            </w:pPr>
            <w:hyperlink w:anchor="item_3_legal_proceedings">
              <w:r>
                <w:rPr>
                  <w:rStyle w:val="InternetLink"/>
                  <w:rFonts w:ascii="Times New Roman" w:hAnsi="Times New Roman"/>
                  <w:color w:val="000000"/>
                  <w:sz w:val="20"/>
                </w:rPr>
                <w:t>Legal Proceedings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89</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4.</w:t>
            </w:r>
          </w:p>
        </w:tc>
        <w:tc>
          <w:tcPr>
            <w:tcW w:w="8676" w:type="dxa"/>
            <w:tcBorders/>
            <w:vAlign w:val="center"/>
          </w:tcPr>
          <w:p>
            <w:pPr>
              <w:pStyle w:val="TableContents"/>
              <w:bidi w:val="0"/>
              <w:spacing w:before="0" w:after="283"/>
              <w:ind w:left="144" w:right="0" w:firstLine="144"/>
              <w:jc w:val="left"/>
              <w:rPr/>
            </w:pPr>
            <w:hyperlink w:anchor="item_4_mine_safety_disclosures">
              <w:r>
                <w:rPr>
                  <w:rStyle w:val="InternetLink"/>
                  <w:rFonts w:ascii="Times New Roman" w:hAnsi="Times New Roman"/>
                  <w:color w:val="000000"/>
                  <w:sz w:val="20"/>
                </w:rPr>
                <w:t>Mine Safety Disclosures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89</w:t>
            </w:r>
          </w:p>
        </w:tc>
      </w:tr>
      <w:tr>
        <w:trPr/>
        <w:tc>
          <w:tcPr>
            <w:tcW w:w="918" w:type="dxa"/>
            <w:tcBorders/>
            <w:vAlign w:val="center"/>
          </w:tcPr>
          <w:p>
            <w:pPr>
              <w:pStyle w:val="TableContents"/>
              <w:bidi w:val="0"/>
              <w:spacing w:before="0" w:after="283"/>
              <w:ind w:left="0" w:right="0" w:firstLine="144"/>
              <w:jc w:val="left"/>
              <w:rPr/>
            </w:pPr>
            <w:r>
              <w:rPr/>
              <w:t> </w:t>
            </w:r>
          </w:p>
        </w:tc>
        <w:tc>
          <w:tcPr>
            <w:tcW w:w="8676" w:type="dxa"/>
            <w:tcBorders/>
            <w:vAlign w:val="center"/>
          </w:tcPr>
          <w:p>
            <w:pPr>
              <w:pStyle w:val="TableContents"/>
              <w:bidi w:val="0"/>
              <w:spacing w:before="0" w:after="283"/>
              <w:ind w:left="144" w:right="0" w:firstLine="144"/>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918" w:type="dxa"/>
            <w:tcBorders/>
            <w:vAlign w:val="center"/>
          </w:tcPr>
          <w:p>
            <w:pPr>
              <w:pStyle w:val="TableContents"/>
              <w:bidi w:val="0"/>
              <w:spacing w:before="0" w:after="283"/>
              <w:ind w:left="0" w:right="0" w:firstLine="144"/>
              <w:jc w:val="left"/>
              <w:rPr>
                <w:sz w:val="4"/>
                <w:szCs w:val="4"/>
              </w:rPr>
            </w:pPr>
            <w:r>
              <w:rPr>
                <w:sz w:val="4"/>
                <w:szCs w:val="4"/>
              </w:rPr>
            </w:r>
          </w:p>
        </w:tc>
        <w:tc>
          <w:tcPr>
            <w:tcW w:w="8676" w:type="dxa"/>
            <w:tcBorders/>
            <w:vAlign w:val="center"/>
          </w:tcPr>
          <w:p>
            <w:pPr>
              <w:pStyle w:val="TableContents"/>
              <w:bidi w:val="0"/>
              <w:spacing w:before="0" w:after="283"/>
              <w:ind w:left="144" w:right="0" w:firstLine="144"/>
              <w:jc w:val="left"/>
              <w:rPr/>
            </w:pPr>
            <w:hyperlink w:anchor="part_ii">
              <w:r>
                <w:rPr>
                  <w:rStyle w:val="InternetLink"/>
                  <w:rFonts w:ascii="Times New Roman" w:hAnsi="Times New Roman"/>
                  <w:b/>
                  <w:color w:val="000000"/>
                  <w:sz w:val="20"/>
                </w:rPr>
                <w:t>PART II</w:t>
              </w:r>
            </w:hyperlink>
          </w:p>
        </w:tc>
        <w:tc>
          <w:tcPr>
            <w:tcW w:w="611" w:type="dxa"/>
            <w:tcBorders/>
            <w:vAlign w:val="center"/>
          </w:tcPr>
          <w:p>
            <w:pPr>
              <w:pStyle w:val="TableContents"/>
              <w:bidi w:val="0"/>
              <w:spacing w:before="0" w:after="283"/>
              <w:ind w:left="0" w:right="0" w:firstLine="144"/>
              <w:jc w:val="right"/>
              <w:rPr/>
            </w:pPr>
            <w:r>
              <w:rPr/>
              <w:t> </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5.</w:t>
            </w:r>
          </w:p>
        </w:tc>
        <w:tc>
          <w:tcPr>
            <w:tcW w:w="8676" w:type="dxa"/>
            <w:tcBorders/>
            <w:vAlign w:val="center"/>
          </w:tcPr>
          <w:p>
            <w:pPr>
              <w:pStyle w:val="TableContents"/>
              <w:bidi w:val="0"/>
              <w:spacing w:before="0" w:after="283"/>
              <w:ind w:left="144" w:right="0" w:firstLine="144"/>
              <w:jc w:val="left"/>
              <w:rPr/>
            </w:pPr>
            <w:hyperlink w:anchor="item_5_market_for_registrants_common_equ">
              <w:r>
                <w:rPr>
                  <w:rStyle w:val="InternetLink"/>
                  <w:rFonts w:ascii="Times New Roman" w:hAnsi="Times New Roman"/>
                  <w:color w:val="000000"/>
                  <w:sz w:val="20"/>
                </w:rPr>
                <w:t>Market for the Registrant’s Common Equity, Related Stockholder Matters and Issuer Purchases of Equity Securities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90</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6.</w:t>
            </w:r>
          </w:p>
        </w:tc>
        <w:tc>
          <w:tcPr>
            <w:tcW w:w="8676" w:type="dxa"/>
            <w:tcBorders/>
            <w:vAlign w:val="center"/>
          </w:tcPr>
          <w:p>
            <w:pPr>
              <w:pStyle w:val="TableContents"/>
              <w:bidi w:val="0"/>
              <w:spacing w:before="0" w:after="283"/>
              <w:ind w:left="144" w:right="0" w:firstLine="144"/>
              <w:jc w:val="left"/>
              <w:rPr/>
            </w:pPr>
            <w:hyperlink w:anchor="item_6_selected_financial_data">
              <w:r>
                <w:rPr>
                  <w:rStyle w:val="InternetLink"/>
                  <w:rFonts w:ascii="Times New Roman" w:hAnsi="Times New Roman"/>
                  <w:color w:val="000000"/>
                  <w:sz w:val="20"/>
                </w:rPr>
                <w:t>[Reserved]</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91</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7.</w:t>
            </w:r>
          </w:p>
        </w:tc>
        <w:tc>
          <w:tcPr>
            <w:tcW w:w="8676" w:type="dxa"/>
            <w:tcBorders/>
            <w:vAlign w:val="center"/>
          </w:tcPr>
          <w:p>
            <w:pPr>
              <w:pStyle w:val="TableContents"/>
              <w:bidi w:val="0"/>
              <w:spacing w:before="0" w:after="283"/>
              <w:ind w:left="144" w:right="0" w:firstLine="144"/>
              <w:jc w:val="left"/>
              <w:rPr/>
            </w:pPr>
            <w:hyperlink w:anchor="item_7_managements_discussion_analysis_f">
              <w:r>
                <w:rPr>
                  <w:rStyle w:val="InternetLink"/>
                  <w:rFonts w:ascii="Times New Roman" w:hAnsi="Times New Roman"/>
                  <w:color w:val="000000"/>
                  <w:sz w:val="20"/>
                </w:rPr>
                <w:t>Management’s Discussion and Analysis of Financial Condition and Results of Operations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92</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7A.</w:t>
            </w:r>
          </w:p>
        </w:tc>
        <w:tc>
          <w:tcPr>
            <w:tcW w:w="8676" w:type="dxa"/>
            <w:tcBorders/>
            <w:vAlign w:val="center"/>
          </w:tcPr>
          <w:p>
            <w:pPr>
              <w:pStyle w:val="TableContents"/>
              <w:bidi w:val="0"/>
              <w:spacing w:before="0" w:after="283"/>
              <w:ind w:left="144" w:right="0" w:firstLine="144"/>
              <w:jc w:val="left"/>
              <w:rPr/>
            </w:pPr>
            <w:hyperlink w:anchor="item_7a_quantitative_qualitative_disclos">
              <w:r>
                <w:rPr>
                  <w:rStyle w:val="InternetLink"/>
                  <w:rFonts w:ascii="Times New Roman" w:hAnsi="Times New Roman"/>
                  <w:color w:val="000000"/>
                  <w:sz w:val="20"/>
                </w:rPr>
                <w:t>Quantitative and Qualitative Disclosures about Market Risk</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100</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8.</w:t>
            </w:r>
          </w:p>
        </w:tc>
        <w:tc>
          <w:tcPr>
            <w:tcW w:w="8676" w:type="dxa"/>
            <w:tcBorders/>
            <w:vAlign w:val="center"/>
          </w:tcPr>
          <w:p>
            <w:pPr>
              <w:pStyle w:val="TableContents"/>
              <w:bidi w:val="0"/>
              <w:spacing w:before="0" w:after="283"/>
              <w:ind w:left="144" w:right="0" w:firstLine="144"/>
              <w:jc w:val="left"/>
              <w:rPr/>
            </w:pPr>
            <w:hyperlink w:anchor="item_8_financial_statements_supplementar">
              <w:r>
                <w:rPr>
                  <w:rStyle w:val="InternetLink"/>
                  <w:rFonts w:ascii="Times New Roman" w:hAnsi="Times New Roman"/>
                  <w:color w:val="000000"/>
                  <w:sz w:val="20"/>
                </w:rPr>
                <w:t>Financial Statements and Supplementary Data</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100</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9.</w:t>
            </w:r>
          </w:p>
        </w:tc>
        <w:tc>
          <w:tcPr>
            <w:tcW w:w="8676" w:type="dxa"/>
            <w:tcBorders/>
            <w:vAlign w:val="center"/>
          </w:tcPr>
          <w:p>
            <w:pPr>
              <w:pStyle w:val="TableContents"/>
              <w:bidi w:val="0"/>
              <w:spacing w:before="0" w:after="283"/>
              <w:ind w:left="144" w:right="0" w:firstLine="144"/>
              <w:jc w:val="left"/>
              <w:rPr/>
            </w:pPr>
            <w:hyperlink w:anchor="item_9_changes_in_disagreements_with_acc">
              <w:r>
                <w:rPr>
                  <w:rStyle w:val="InternetLink"/>
                  <w:rFonts w:ascii="Times New Roman" w:hAnsi="Times New Roman"/>
                  <w:color w:val="000000"/>
                  <w:sz w:val="20"/>
                </w:rPr>
                <w:t>Changes in and Disagreements with Accountants on Accounting and Financial Disclosure</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100</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9A.</w:t>
            </w:r>
          </w:p>
        </w:tc>
        <w:tc>
          <w:tcPr>
            <w:tcW w:w="8676" w:type="dxa"/>
            <w:tcBorders/>
            <w:vAlign w:val="center"/>
          </w:tcPr>
          <w:p>
            <w:pPr>
              <w:pStyle w:val="TableContents"/>
              <w:bidi w:val="0"/>
              <w:spacing w:before="0" w:after="283"/>
              <w:ind w:left="144" w:right="0" w:firstLine="144"/>
              <w:jc w:val="left"/>
              <w:rPr/>
            </w:pPr>
            <w:hyperlink w:anchor="item_9a_controls_procedures">
              <w:r>
                <w:rPr>
                  <w:rStyle w:val="InternetLink"/>
                  <w:rFonts w:ascii="Times New Roman" w:hAnsi="Times New Roman"/>
                  <w:color w:val="000000"/>
                  <w:sz w:val="20"/>
                </w:rPr>
                <w:t>Controls and Procedures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101</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9B.</w:t>
            </w:r>
          </w:p>
        </w:tc>
        <w:tc>
          <w:tcPr>
            <w:tcW w:w="8676" w:type="dxa"/>
            <w:tcBorders/>
            <w:vAlign w:val="center"/>
          </w:tcPr>
          <w:p>
            <w:pPr>
              <w:pStyle w:val="TableContents"/>
              <w:bidi w:val="0"/>
              <w:spacing w:before="0" w:after="283"/>
              <w:ind w:left="144" w:right="0" w:firstLine="144"/>
              <w:jc w:val="left"/>
              <w:rPr/>
            </w:pPr>
            <w:hyperlink w:anchor="item_9b_or_information">
              <w:r>
                <w:rPr>
                  <w:rStyle w:val="InternetLink"/>
                  <w:rFonts w:ascii="Times New Roman" w:hAnsi="Times New Roman"/>
                  <w:color w:val="000000"/>
                  <w:sz w:val="20"/>
                </w:rPr>
                <w:t>Other Information</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103</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9C.</w:t>
            </w:r>
          </w:p>
        </w:tc>
        <w:tc>
          <w:tcPr>
            <w:tcW w:w="8676" w:type="dxa"/>
            <w:tcBorders/>
            <w:vAlign w:val="center"/>
          </w:tcPr>
          <w:p>
            <w:pPr>
              <w:pStyle w:val="TableContents"/>
              <w:bidi w:val="0"/>
              <w:spacing w:before="0" w:after="283"/>
              <w:ind w:left="144" w:right="0" w:firstLine="144"/>
              <w:jc w:val="left"/>
              <w:rPr/>
            </w:pPr>
            <w:hyperlink w:anchor="item_9c_foreign_jurisdictions">
              <w:r>
                <w:rPr>
                  <w:rStyle w:val="InternetLink"/>
                  <w:rFonts w:ascii="Times New Roman" w:hAnsi="Times New Roman"/>
                  <w:color w:val="000000"/>
                  <w:sz w:val="20"/>
                </w:rPr>
                <w:t>Disclosure Regarding Foreign Jurisdictions that Prevent Inspections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103</w:t>
            </w:r>
          </w:p>
        </w:tc>
      </w:tr>
      <w:tr>
        <w:trPr/>
        <w:tc>
          <w:tcPr>
            <w:tcW w:w="918" w:type="dxa"/>
            <w:tcBorders/>
            <w:vAlign w:val="center"/>
          </w:tcPr>
          <w:p>
            <w:pPr>
              <w:pStyle w:val="TableContents"/>
              <w:bidi w:val="0"/>
              <w:spacing w:before="0" w:after="283"/>
              <w:ind w:left="0" w:right="0" w:firstLine="144"/>
              <w:jc w:val="left"/>
              <w:rPr>
                <w:sz w:val="4"/>
                <w:szCs w:val="4"/>
              </w:rPr>
            </w:pPr>
            <w:r>
              <w:rPr>
                <w:sz w:val="4"/>
                <w:szCs w:val="4"/>
              </w:rPr>
            </w:r>
          </w:p>
        </w:tc>
        <w:tc>
          <w:tcPr>
            <w:tcW w:w="8676" w:type="dxa"/>
            <w:tcBorders/>
            <w:vAlign w:val="center"/>
          </w:tcPr>
          <w:p>
            <w:pPr>
              <w:pStyle w:val="TableContents"/>
              <w:bidi w:val="0"/>
              <w:spacing w:before="240" w:after="283"/>
              <w:ind w:left="144" w:right="0" w:firstLine="144"/>
              <w:jc w:val="left"/>
              <w:rPr/>
            </w:pPr>
            <w:hyperlink w:anchor="part_iii">
              <w:r>
                <w:rPr>
                  <w:rStyle w:val="InternetLink"/>
                  <w:rFonts w:ascii="Times New Roman" w:hAnsi="Times New Roman"/>
                  <w:b/>
                  <w:color w:val="000000"/>
                  <w:sz w:val="20"/>
                </w:rPr>
                <w:t>PART III</w:t>
              </w:r>
            </w:hyperlink>
          </w:p>
        </w:tc>
        <w:tc>
          <w:tcPr>
            <w:tcW w:w="611" w:type="dxa"/>
            <w:tcBorders/>
            <w:vAlign w:val="center"/>
          </w:tcPr>
          <w:p>
            <w:pPr>
              <w:pStyle w:val="TableContents"/>
              <w:bidi w:val="0"/>
              <w:spacing w:before="0" w:after="283"/>
              <w:ind w:left="0" w:right="0" w:firstLine="144"/>
              <w:jc w:val="right"/>
              <w:rPr/>
            </w:pPr>
            <w:r>
              <w:rPr/>
              <w:t> </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10.</w:t>
            </w:r>
          </w:p>
        </w:tc>
        <w:tc>
          <w:tcPr>
            <w:tcW w:w="8676" w:type="dxa"/>
            <w:tcBorders/>
            <w:vAlign w:val="center"/>
          </w:tcPr>
          <w:p>
            <w:pPr>
              <w:pStyle w:val="TableContents"/>
              <w:bidi w:val="0"/>
              <w:spacing w:before="0" w:after="283"/>
              <w:ind w:left="144" w:right="0" w:firstLine="144"/>
              <w:jc w:val="left"/>
              <w:rPr/>
            </w:pPr>
            <w:hyperlink w:anchor="item_10_directors_executive_ficers_corpo">
              <w:r>
                <w:rPr>
                  <w:rStyle w:val="InternetLink"/>
                  <w:rFonts w:ascii="Times New Roman" w:hAnsi="Times New Roman"/>
                  <w:color w:val="000000"/>
                  <w:sz w:val="20"/>
                </w:rPr>
                <w:t>Directors, Executive Officers and Corporate Governance</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104</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11.</w:t>
            </w:r>
          </w:p>
        </w:tc>
        <w:tc>
          <w:tcPr>
            <w:tcW w:w="8676" w:type="dxa"/>
            <w:tcBorders/>
            <w:vAlign w:val="center"/>
          </w:tcPr>
          <w:p>
            <w:pPr>
              <w:pStyle w:val="TableContents"/>
              <w:bidi w:val="0"/>
              <w:spacing w:before="0" w:after="283"/>
              <w:ind w:left="144" w:right="0" w:firstLine="144"/>
              <w:jc w:val="left"/>
              <w:rPr/>
            </w:pPr>
            <w:hyperlink w:anchor="item_11_executive_compensation">
              <w:r>
                <w:rPr>
                  <w:rStyle w:val="InternetLink"/>
                  <w:rFonts w:ascii="Times New Roman" w:hAnsi="Times New Roman"/>
                  <w:color w:val="000000"/>
                  <w:sz w:val="20"/>
                </w:rPr>
                <w:t>Executive Compensation</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104</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12.</w:t>
            </w:r>
          </w:p>
        </w:tc>
        <w:tc>
          <w:tcPr>
            <w:tcW w:w="8676" w:type="dxa"/>
            <w:tcBorders/>
            <w:vAlign w:val="center"/>
          </w:tcPr>
          <w:p>
            <w:pPr>
              <w:pStyle w:val="TableContents"/>
              <w:bidi w:val="0"/>
              <w:spacing w:before="0" w:after="283"/>
              <w:ind w:left="144" w:right="0" w:firstLine="144"/>
              <w:jc w:val="left"/>
              <w:rPr/>
            </w:pPr>
            <w:hyperlink w:anchor="item_12_security_ownership_certain_benef">
              <w:r>
                <w:rPr>
                  <w:rStyle w:val="InternetLink"/>
                  <w:rFonts w:ascii="Times New Roman" w:hAnsi="Times New Roman"/>
                  <w:color w:val="000000"/>
                  <w:sz w:val="20"/>
                </w:rPr>
                <w:t>Security Ownership of Certain Beneficial Owners and Management and Related Stockholder Matters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104</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13.</w:t>
            </w:r>
          </w:p>
        </w:tc>
        <w:tc>
          <w:tcPr>
            <w:tcW w:w="8676" w:type="dxa"/>
            <w:tcBorders/>
            <w:vAlign w:val="center"/>
          </w:tcPr>
          <w:p>
            <w:pPr>
              <w:pStyle w:val="TableContents"/>
              <w:bidi w:val="0"/>
              <w:spacing w:before="0" w:after="283"/>
              <w:ind w:left="144" w:right="0" w:firstLine="144"/>
              <w:jc w:val="left"/>
              <w:rPr/>
            </w:pPr>
            <w:hyperlink w:anchor="item_13_certain_relationships_related_tr">
              <w:r>
                <w:rPr>
                  <w:rStyle w:val="InternetLink"/>
                  <w:rFonts w:ascii="Times New Roman" w:hAnsi="Times New Roman"/>
                  <w:color w:val="000000"/>
                  <w:sz w:val="20"/>
                </w:rPr>
                <w:t>Certain Relationships and Related Transactions, and Director Independence</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104</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14.</w:t>
            </w:r>
          </w:p>
        </w:tc>
        <w:tc>
          <w:tcPr>
            <w:tcW w:w="8676" w:type="dxa"/>
            <w:tcBorders/>
            <w:vAlign w:val="center"/>
          </w:tcPr>
          <w:p>
            <w:pPr>
              <w:pStyle w:val="TableContents"/>
              <w:bidi w:val="0"/>
              <w:spacing w:before="0" w:after="283"/>
              <w:ind w:left="144" w:right="0" w:firstLine="144"/>
              <w:jc w:val="left"/>
              <w:rPr/>
            </w:pPr>
            <w:hyperlink w:anchor="item_14_principal_accounting_fees_servic">
              <w:r>
                <w:rPr>
                  <w:rStyle w:val="InternetLink"/>
                  <w:rFonts w:ascii="Times New Roman" w:hAnsi="Times New Roman"/>
                  <w:color w:val="000000"/>
                  <w:sz w:val="20"/>
                </w:rPr>
                <w:t>Principal Accounting Fees and Services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104</w:t>
            </w:r>
          </w:p>
        </w:tc>
      </w:tr>
      <w:tr>
        <w:trPr/>
        <w:tc>
          <w:tcPr>
            <w:tcW w:w="918" w:type="dxa"/>
            <w:tcBorders/>
            <w:vAlign w:val="center"/>
          </w:tcPr>
          <w:p>
            <w:pPr>
              <w:pStyle w:val="TableContents"/>
              <w:bidi w:val="0"/>
              <w:spacing w:before="0" w:after="283"/>
              <w:ind w:left="0" w:right="0" w:firstLine="144"/>
              <w:jc w:val="left"/>
              <w:rPr/>
            </w:pPr>
            <w:r>
              <w:rPr/>
              <w:t> </w:t>
            </w:r>
          </w:p>
        </w:tc>
        <w:tc>
          <w:tcPr>
            <w:tcW w:w="8676" w:type="dxa"/>
            <w:tcBorders/>
            <w:vAlign w:val="center"/>
          </w:tcPr>
          <w:p>
            <w:pPr>
              <w:pStyle w:val="TableContents"/>
              <w:bidi w:val="0"/>
              <w:spacing w:before="0" w:after="283"/>
              <w:ind w:left="144" w:right="0" w:firstLine="144"/>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918" w:type="dxa"/>
            <w:tcBorders/>
            <w:vAlign w:val="center"/>
          </w:tcPr>
          <w:p>
            <w:pPr>
              <w:pStyle w:val="TableContents"/>
              <w:bidi w:val="0"/>
              <w:spacing w:before="0" w:after="283"/>
              <w:ind w:left="0" w:right="0" w:firstLine="144"/>
              <w:jc w:val="left"/>
              <w:rPr>
                <w:sz w:val="4"/>
                <w:szCs w:val="4"/>
              </w:rPr>
            </w:pPr>
            <w:r>
              <w:rPr>
                <w:sz w:val="4"/>
                <w:szCs w:val="4"/>
              </w:rPr>
            </w:r>
          </w:p>
        </w:tc>
        <w:tc>
          <w:tcPr>
            <w:tcW w:w="8676" w:type="dxa"/>
            <w:tcBorders/>
            <w:vAlign w:val="center"/>
          </w:tcPr>
          <w:p>
            <w:pPr>
              <w:pStyle w:val="TableContents"/>
              <w:bidi w:val="0"/>
              <w:spacing w:before="0" w:after="283"/>
              <w:ind w:left="144" w:right="0" w:firstLine="144"/>
              <w:jc w:val="left"/>
              <w:rPr/>
            </w:pPr>
            <w:hyperlink w:anchor="part_iv">
              <w:r>
                <w:rPr>
                  <w:rStyle w:val="InternetLink"/>
                  <w:rFonts w:ascii="Times New Roman" w:hAnsi="Times New Roman"/>
                  <w:b/>
                  <w:color w:val="000000"/>
                  <w:sz w:val="20"/>
                </w:rPr>
                <w:t>PART IV</w:t>
              </w:r>
            </w:hyperlink>
          </w:p>
        </w:tc>
        <w:tc>
          <w:tcPr>
            <w:tcW w:w="611" w:type="dxa"/>
            <w:tcBorders/>
            <w:vAlign w:val="center"/>
          </w:tcPr>
          <w:p>
            <w:pPr>
              <w:pStyle w:val="TableContents"/>
              <w:bidi w:val="0"/>
              <w:spacing w:before="0" w:after="283"/>
              <w:ind w:left="0" w:right="0" w:firstLine="144"/>
              <w:jc w:val="right"/>
              <w:rPr/>
            </w:pPr>
            <w:r>
              <w:rPr/>
              <w:t> </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15.</w:t>
            </w:r>
          </w:p>
        </w:tc>
        <w:tc>
          <w:tcPr>
            <w:tcW w:w="8676" w:type="dxa"/>
            <w:tcBorders/>
            <w:vAlign w:val="center"/>
          </w:tcPr>
          <w:p>
            <w:pPr>
              <w:pStyle w:val="TableContents"/>
              <w:bidi w:val="0"/>
              <w:spacing w:before="0" w:after="283"/>
              <w:ind w:left="144" w:right="0" w:firstLine="144"/>
              <w:jc w:val="left"/>
              <w:rPr/>
            </w:pPr>
            <w:hyperlink w:anchor="item_15_exhibits_financial_statement_sch">
              <w:r>
                <w:rPr>
                  <w:rStyle w:val="InternetLink"/>
                  <w:rFonts w:ascii="Times New Roman" w:hAnsi="Times New Roman"/>
                  <w:color w:val="000000"/>
                  <w:sz w:val="20"/>
                </w:rPr>
                <w:t>Exhibits, Financial Statement Schedules</w:t>
              </w:r>
            </w:hyperlink>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105</w:t>
            </w:r>
          </w:p>
        </w:tc>
      </w:tr>
      <w:tr>
        <w:trPr/>
        <w:tc>
          <w:tcPr>
            <w:tcW w:w="918"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16.</w:t>
            </w:r>
          </w:p>
        </w:tc>
        <w:tc>
          <w:tcPr>
            <w:tcW w:w="8676" w:type="dxa"/>
            <w:tcBorders/>
            <w:vAlign w:val="center"/>
          </w:tcPr>
          <w:p>
            <w:pPr>
              <w:pStyle w:val="TableContents"/>
              <w:bidi w:val="0"/>
              <w:spacing w:before="0" w:after="283"/>
              <w:ind w:left="144" w:right="0" w:firstLine="144"/>
              <w:jc w:val="left"/>
              <w:rPr/>
            </w:pPr>
            <w:hyperlink w:anchor="item_16_form_10k_summary">
              <w:r>
                <w:rPr>
                  <w:rStyle w:val="InternetLink"/>
                  <w:rFonts w:ascii="Times New Roman" w:hAnsi="Times New Roman"/>
                  <w:color w:val="000000"/>
                  <w:sz w:val="20"/>
                </w:rPr>
                <w:t>Form 10-K Summary</w:t>
              </w:r>
            </w:hyperlink>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18" w:type="dxa"/>
            <w:tcBorders/>
            <w:vAlign w:val="center"/>
          </w:tcPr>
          <w:p>
            <w:pPr>
              <w:pStyle w:val="TableContents"/>
              <w:bidi w:val="0"/>
              <w:spacing w:before="0" w:after="283"/>
              <w:ind w:left="0" w:right="0" w:firstLine="144"/>
              <w:jc w:val="left"/>
              <w:rPr>
                <w:sz w:val="4"/>
                <w:szCs w:val="4"/>
              </w:rPr>
            </w:pPr>
            <w:r>
              <w:rPr>
                <w:sz w:val="4"/>
                <w:szCs w:val="4"/>
              </w:rPr>
            </w:r>
          </w:p>
        </w:tc>
        <w:tc>
          <w:tcPr>
            <w:tcW w:w="8676" w:type="dxa"/>
            <w:tcBorders/>
            <w:vAlign w:val="center"/>
          </w:tcPr>
          <w:p>
            <w:pPr>
              <w:pStyle w:val="TableContents"/>
              <w:bidi w:val="0"/>
              <w:spacing w:before="0" w:after="283"/>
              <w:ind w:left="144" w:right="0" w:firstLine="144"/>
              <w:jc w:val="left"/>
              <w:rPr/>
            </w:pPr>
            <w:hyperlink w:anchor="signatures">
              <w:r>
                <w:rPr>
                  <w:rStyle w:val="InternetLink"/>
                  <w:rFonts w:ascii="Times New Roman" w:hAnsi="Times New Roman"/>
                  <w:color w:val="000000"/>
                  <w:sz w:val="20"/>
                </w:rPr>
                <w:t>Signatures</w:t>
              </w:r>
            </w:hyperlink>
          </w:p>
        </w:tc>
        <w:tc>
          <w:tcPr>
            <w:tcW w:w="611" w:type="dxa"/>
            <w:tcBorders/>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Forward-looking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Annual Report on Form 10-K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our clinical study strategy for NTLA-2001, our program for the treatment of transthyretin (“ATTR”) amyloidosis, including the ability to successfully complete our global Phase 3 study, or the success of such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our clinical study strategy for NTLA-2002, our program for the treatment of hereditary angioedema (“HAE”), including the ability to successfully complete our Phase 1/2 study and determine a recommended dose that can be advanced into later-stage studies, or the success of such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initiate and complete our Phase 3 study for NTLA-2002 for HAE and file a biologics license application or comparable marketing application within a certain time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our clinical study strategy for NTLA-3001, our program for the treatment of alpha-1 antitrypsin deficiency (“AATD”)-associated lung disease, including the ability to successfully initiate our Phase 1 study, or the success of such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use a modular platform capability or other strategies to efficiently discover and develop product candidates, including by applying learnings from one program to other programs;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ability to research, develop or maintain a pipeline of product candidates, including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 xml:space="preserve">ex vivo </w:t>
      </w:r>
      <w:r>
        <w:rPr>
          <w:rFonts w:ascii="Times New Roman" w:hAnsi="Times New Roman"/>
          <w:color w:val="000000"/>
          <w:sz w:val="20"/>
        </w:rPr>
        <w:t>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or obtain materials for our preclinical and clinical studies, and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advance any product candidates into, and successfully complete, clinical studies, including clinical studies necessary for regulatory approval and commercialization, and to demonstrate to the regulators that the product candidates are safe and effective and that their benefits outweigh known and potential risks for the intended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advance our genome editing and therapeutic delivery capabilities, including our therapeutic delivery capabilities for tissues other than the liver;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develop, establish and maintain for intellectual property rights, including patents, trade secrets and license rights, covering our product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operate, including commercializing products, without infringing or breaching the proprietary or contractual rights of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or enforcement of, and compliance with, regulatory requirements and guidance regarding preclinical and clinical studies relevant to genome editing and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acceptance, pricing and reimbursement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our expenses, future revenues, capital requirements and our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benefits of strategic agreements, such as collaborations, co-development and co-commercialization, acquisitions, dispositions, mergers, joint ventures, and investment agreements, and our ability to establish and maintain strategic arrangements under favorable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acquire and maintain relevant intellectual property licenses and rights, and the scope and terms of such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our licensors, licensees, third parties and ventures from which we derive or license rights, as well as collaborators, competitors and our industry;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All of our express or implied forward-looking statements are as of the date of this Annual Report on Form 10-K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on Form 10-K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on Form 10-K, even if such results, changes or circumstances make it clear that any forward-looking information will not be realized. Any public statements or disclosures by us following this Annual Report on Form 10-K that modify or impact any of the forward-looking statements contained in this Annual Report on Form 10-K will be deemed to modify or supersede such statements in this Annual Report on Form 10-K.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the Material Risks Associated with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CRISPR/Cas9 genome editing technology has limited clinical validation and has only recently been approved for human therapeutic use. The approaches we are taking to discover and develop novel therapeutics using CRISPR/Cas9 systems are unproven and may never lead to marketable products. If we are unable to develop viable product candidates, achieve regulatory approval for any such product candidate or market and sell any products, we may never achieve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development involves a lengthy and expensive process, with an uncertain outcome. We may incur additional costs or experience delays in completing, or ultimately be unable to complete, the development and commercialization of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Results, including data from our preclinical studies and clinical trials, that we announce from time to time, such as the interim data from our ongoing Phase 1 study of NTLA-2001</w:t>
      </w:r>
      <w:r>
        <w:rPr>
          <w:color w:val="000000"/>
        </w:rPr>
        <w:t xml:space="preserve"> </w:t>
      </w:r>
      <w:r>
        <w:rPr>
          <w:rFonts w:ascii="Times New Roman" w:hAnsi="Times New Roman"/>
          <w:color w:val="000000"/>
          <w:sz w:val="20"/>
        </w:rPr>
        <w:t>and our ongoing Phase 1/2 study of NTLA-2002, are not necessarily predictive of our other ongoing and future preclinical and clinical studies, and they do not guarantee or indicate the likelihood of approval of any potential product candidate by the United States Food and Drug Administration (“FDA”) or any other regulatory agency. If we cannot replicate the positive results from any of our preclinical or clinical studies, we may be unable to successfully develop, obtain regulatory approval for and commercialize any potential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public opinion and increased regulatory scrutiny of CRISPR/Cas9 use, genome editing or gene therapy generally may damage public perception of the safety of any product candidates that we develop and adversely affect our ability to conduct our business or obtain regulatory approvals for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 of any product candidates, such candidates may not gain market acceptance among physicians, patients, hospitals, third party payors and others in the medical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our license agreement with Caribou Biosciences, Inc. (“Caribou”), we sublicense a patent family from the Regents of the University of California and the University of Vienna that is co-owned by Dr. Emmanuel Charpentier (collectively, “UC/Vienna/Charpentier”). The outcome of ongoing legal proceedings, as well as potential future proceedings, related to this patent family may affect our rights under certain intellectual property sublicensed under our license agreement with Caribou.</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or product candidates, or asserting and defending our intellectual property rights that protect our products and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have patent rights and other intellectual property rights that cover our product candidates, and we may be unable to avoid, obtain or invalidate patent rights owned by third parties that are necessary to develop, manufacture or commercialize our product candidates in one or more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from product sales and become profitable is dependent on the success of our application of CRISPR/Cas9 technology for human therapeutic use, which is at a clinical stage of development and will require significant additional discovery efforts, preclinical testing and clinical studies and manufacturing capabilities, as well as applicable regulatory guidance regarding preclinical testing and clinical studies from the FDA and other similar regulatory authorities, before we can seek regulatory approval and begin commercial sales of any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net losses in each period since our inception, anticipate that we will continue to incur net losses in the future and may never achieve profitability.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genome editing products and </w:t>
      </w:r>
      <w:r>
        <w:rPr>
          <w:rFonts w:ascii="Times New Roman" w:hAnsi="Times New Roman"/>
          <w:i/>
          <w:color w:val="000000"/>
          <w:sz w:val="20"/>
        </w:rPr>
        <w:t>ex vivo</w:t>
      </w:r>
      <w:r>
        <w:rPr>
          <w:color w:val="000000"/>
        </w:rPr>
        <w:t xml:space="preserve"> </w:t>
      </w:r>
      <w:r>
        <w:rPr>
          <w:rFonts w:ascii="Times New Roman" w:hAnsi="Times New Roman"/>
          <w:color w:val="000000"/>
          <w:sz w:val="20"/>
        </w:rPr>
        <w:t>engineered cell therapies based on CRISPR/Cas9 genome editing technology are novel and may be complex and difficult to manufacture. We could experience manufacturing problems or regulatory requirements that result in delays in the development, approval or commercialization of our product candidates or otherwise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or difficulties in the enrollment of patients in clinical trials, our ability to complete clinical trials or our receipt of necessary regulatory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technological advancements and any potential for revenue may be derived in part from our collaborations, including, for example, with Regeneron Pharmaceuticals, Inc. (“Regeneron”), and if the collaboration or co-development agreements related to a material collaboration were to be terminated or materially altered in an adverse manner, our business, financial condition, results of operations and prospects may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internal computer systems, or those of our collaborators or other contractors or consultants, may fail or suffer security breaches, which could result in a material disruption of our operations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 of our common stock historically has been volatile, which may affect the price at which you could sell any shares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3" w:name="item_1_business"/>
      <w:bookmarkEnd w:id="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Business</w:t>
      </w:r>
    </w:p>
    <w:p>
      <w:pPr>
        <w:pStyle w:val="TextBody"/>
        <w:bidi w:val="0"/>
        <w:spacing w:before="12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leading clinical-stage gene editing company, focused on developing potentially curative therapeutics using CRISPR/Cas9-based technologies. CRISPR/Cas9, an acronym for </w:t>
      </w:r>
      <w:r>
        <w:rPr>
          <w:rFonts w:ascii="Times New Roman" w:hAnsi="Times New Roman"/>
          <w:color w:val="000000"/>
          <w:sz w:val="20"/>
          <w:u w:val="single"/>
        </w:rPr>
        <w:t>C</w:t>
      </w:r>
      <w:r>
        <w:rPr>
          <w:rFonts w:ascii="Times New Roman" w:hAnsi="Times New Roman"/>
          <w:color w:val="000000"/>
          <w:sz w:val="20"/>
        </w:rPr>
        <w:t xml:space="preserve">lustered, </w:t>
      </w:r>
      <w:r>
        <w:rPr>
          <w:rFonts w:ascii="Times New Roman" w:hAnsi="Times New Roman"/>
          <w:color w:val="000000"/>
          <w:sz w:val="20"/>
          <w:u w:val="single"/>
        </w:rPr>
        <w:t>R</w:t>
      </w:r>
      <w:r>
        <w:rPr>
          <w:rFonts w:ascii="Times New Roman" w:hAnsi="Times New Roman"/>
          <w:color w:val="000000"/>
          <w:sz w:val="20"/>
        </w:rPr>
        <w:t xml:space="preserve">egularly </w:t>
      </w:r>
      <w:r>
        <w:rPr>
          <w:rFonts w:ascii="Times New Roman" w:hAnsi="Times New Roman"/>
          <w:color w:val="000000"/>
          <w:sz w:val="20"/>
          <w:u w:val="single"/>
        </w:rPr>
        <w:t>I</w:t>
      </w:r>
      <w:r>
        <w:rPr>
          <w:rFonts w:ascii="Times New Roman" w:hAnsi="Times New Roman"/>
          <w:color w:val="000000"/>
          <w:sz w:val="20"/>
        </w:rPr>
        <w:t xml:space="preserve">nterspaced </w:t>
      </w:r>
      <w:r>
        <w:rPr>
          <w:rFonts w:ascii="Times New Roman" w:hAnsi="Times New Roman"/>
          <w:color w:val="000000"/>
          <w:sz w:val="20"/>
          <w:u w:val="single"/>
        </w:rPr>
        <w:t>S</w:t>
      </w:r>
      <w:r>
        <w:rPr>
          <w:rFonts w:ascii="Times New Roman" w:hAnsi="Times New Roman"/>
          <w:color w:val="000000"/>
          <w:sz w:val="20"/>
        </w:rPr>
        <w:t xml:space="preserve">hort </w:t>
      </w:r>
      <w:r>
        <w:rPr>
          <w:rFonts w:ascii="Times New Roman" w:hAnsi="Times New Roman"/>
          <w:color w:val="000000"/>
          <w:sz w:val="20"/>
          <w:u w:val="single"/>
        </w:rPr>
        <w:t>P</w:t>
      </w:r>
      <w:r>
        <w:rPr>
          <w:rFonts w:ascii="Times New Roman" w:hAnsi="Times New Roman"/>
          <w:color w:val="000000"/>
          <w:sz w:val="20"/>
        </w:rPr>
        <w:t xml:space="preserve">alindromic </w:t>
      </w:r>
      <w:r>
        <w:rPr>
          <w:rFonts w:ascii="Times New Roman" w:hAnsi="Times New Roman"/>
          <w:color w:val="000000"/>
          <w:sz w:val="20"/>
          <w:u w:val="single"/>
        </w:rPr>
        <w:t>R</w:t>
      </w:r>
      <w:r>
        <w:rPr>
          <w:rFonts w:ascii="Times New Roman" w:hAnsi="Times New Roman"/>
          <w:color w:val="000000"/>
          <w:sz w:val="20"/>
        </w:rPr>
        <w:t>epeats (“CRISPR”)/</w:t>
      </w:r>
      <w:r>
        <w:rPr>
          <w:rFonts w:ascii="Times New Roman" w:hAnsi="Times New Roman"/>
          <w:color w:val="000000"/>
          <w:sz w:val="20"/>
          <w:u w:val="single"/>
        </w:rPr>
        <w:t>C</w:t>
      </w:r>
      <w:r>
        <w:rPr>
          <w:rFonts w:ascii="Times New Roman" w:hAnsi="Times New Roman"/>
          <w:color w:val="000000"/>
          <w:sz w:val="20"/>
        </w:rPr>
        <w:t xml:space="preserve">RISPR </w:t>
      </w:r>
      <w:r>
        <w:rPr>
          <w:rFonts w:ascii="Times New Roman" w:hAnsi="Times New Roman"/>
          <w:color w:val="000000"/>
          <w:sz w:val="20"/>
          <w:u w:val="single"/>
        </w:rPr>
        <w:t>a</w:t>
      </w:r>
      <w:r>
        <w:rPr>
          <w:rFonts w:ascii="Times New Roman" w:hAnsi="Times New Roman"/>
          <w:color w:val="000000"/>
          <w:sz w:val="20"/>
        </w:rPr>
        <w:t xml:space="preserve">ssociated </w:t>
      </w:r>
      <w:r>
        <w:rPr>
          <w:rFonts w:ascii="Times New Roman" w:hAnsi="Times New Roman"/>
          <w:color w:val="000000"/>
          <w:sz w:val="20"/>
          <w:u w:val="single"/>
        </w:rPr>
        <w:t>9</w:t>
      </w:r>
      <w:r>
        <w:rPr>
          <w:rFonts w:ascii="Times New Roman" w:hAnsi="Times New Roman"/>
          <w:color w:val="000000"/>
          <w:sz w:val="20"/>
        </w:rPr>
        <w:t xml:space="preserve"> (“Cas9”), is a technology for genome editing, the process of altering selected sequences of genomic deoxyribonucleic acid (“DNA”). To fully realize the transformative potential of CRISPR/Cas9-based technologies, we are building a full-spectrum gene editing company, by leveraging our modular platform, to advance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ex vivo</w:t>
      </w:r>
      <w:r>
        <w:rPr>
          <w:rFonts w:ascii="Times New Roman" w:hAnsi="Times New Roman"/>
          <w:color w:val="000000"/>
          <w:sz w:val="20"/>
        </w:rPr>
        <w:t xml:space="preserve"> therapies for diseases with high unmet need by pursuing two primary approaches. For </w:t>
      </w:r>
      <w:r>
        <w:rPr>
          <w:rFonts w:ascii="Times New Roman" w:hAnsi="Times New Roman"/>
          <w:i/>
          <w:color w:val="000000"/>
          <w:sz w:val="20"/>
        </w:rPr>
        <w:t>in vivo</w:t>
      </w:r>
      <w:r>
        <w:rPr>
          <w:rFonts w:ascii="Times New Roman" w:hAnsi="Times New Roman"/>
          <w:color w:val="000000"/>
          <w:sz w:val="20"/>
        </w:rPr>
        <w:t xml:space="preserve"> applications to address genetic diseases, we deploy CRISPR/Cas9 as the therapy. Our </w:t>
      </w:r>
      <w:r>
        <w:rPr>
          <w:rFonts w:ascii="Times New Roman" w:hAnsi="Times New Roman"/>
          <w:i/>
          <w:color w:val="000000"/>
          <w:sz w:val="20"/>
        </w:rPr>
        <w:t>in vivo</w:t>
      </w:r>
      <w:r>
        <w:rPr>
          <w:rFonts w:ascii="Times New Roman" w:hAnsi="Times New Roman"/>
          <w:color w:val="000000"/>
          <w:sz w:val="20"/>
        </w:rPr>
        <w:t xml:space="preserve"> programs use CRISPR/Cas9 to enable precise editing of disease-causing genes directly inside the human body. In addition, we are advancing </w:t>
      </w:r>
      <w:r>
        <w:rPr>
          <w:rFonts w:ascii="Times New Roman" w:hAnsi="Times New Roman"/>
          <w:i/>
          <w:color w:val="000000"/>
          <w:sz w:val="20"/>
        </w:rPr>
        <w:t>ex vivo</w:t>
      </w:r>
      <w:r>
        <w:rPr>
          <w:rFonts w:ascii="Times New Roman" w:hAnsi="Times New Roman"/>
          <w:color w:val="000000"/>
          <w:sz w:val="20"/>
        </w:rPr>
        <w:t xml:space="preserve"> applications to address immuno-oncology and autoimmune diseases, where we use CRISPR/Cas9 as the tool to create the engineered cell therapy. For our </w:t>
      </w:r>
      <w:r>
        <w:rPr>
          <w:rFonts w:ascii="Times New Roman" w:hAnsi="Times New Roman"/>
          <w:i/>
          <w:color w:val="000000"/>
          <w:sz w:val="20"/>
        </w:rPr>
        <w:t>ex vivo</w:t>
      </w:r>
      <w:r>
        <w:rPr>
          <w:rFonts w:ascii="Times New Roman" w:hAnsi="Times New Roman"/>
          <w:color w:val="000000"/>
          <w:sz w:val="20"/>
        </w:rPr>
        <w:t xml:space="preserve"> programs, CRISPR/Cas9 is used to engineer human cells outside the body. Our deep scientific, technical and clinical development experience, along with our robust intellectual property (“IP”) portfolio, have enabled us to unlock broad therapeutic applications of CRISPR/</w:t>
      </w:r>
      <w:r>
        <w:rPr>
          <w:rFonts w:ascii="Times New Roman" w:hAnsi="Times New Roman"/>
          <w:color w:val="000000"/>
          <w:sz w:val="20"/>
          <w:u w:val="single"/>
        </w:rPr>
        <w:t xml:space="preserve"> </w:t>
      </w:r>
      <w:r>
        <w:rPr>
          <w:rFonts w:ascii="Times New Roman" w:hAnsi="Times New Roman"/>
          <w:color w:val="000000"/>
          <w:sz w:val="20"/>
        </w:rPr>
        <w:t>Cas9 and related technologies to create new classes of genetic medicine.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Treating—and potentially curing—a broad range of severe diseases will require multiple gene editing approaches. With proprietary CRISPR/Cas9-based technology at the core of our platform, we continue to add new capabilities to expand our current solutions for addressing a multitude of life-threatening diseases. These additions include our proprietary base editor and DNA writing technology, as well as novel CRISPR enzymes, which provide us with the capabilities to achieve multiple editing strategies.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continue to advance our platform’s modular solutions and research efforts on genome editing technologies as well as delivery and cell engineering capabilities to generate additional development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mission is to transform the lives of people with severe diseases by developing potentially curative genome editing treatments. We believe we can deliver on our mission and provide long-term benefits for all of our stakeholders by focusing on four key elements: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potentially curative CRISPR/Cas9-based medicines;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science;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the best place to make therapies;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Focus on long-term sustainability.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lead </w:t>
      </w:r>
      <w:r>
        <w:rPr>
          <w:rFonts w:ascii="Times New Roman" w:hAnsi="Times New Roman"/>
          <w:i/>
          <w:color w:val="000000"/>
          <w:sz w:val="20"/>
        </w:rPr>
        <w:t>in vivo</w:t>
      </w:r>
      <w:r>
        <w:rPr>
          <w:rFonts w:ascii="Times New Roman" w:hAnsi="Times New Roman"/>
          <w:color w:val="000000"/>
          <w:sz w:val="20"/>
        </w:rPr>
        <w:t xml:space="preserve"> candidates, NTLA-2001 for the treatment of transthyretin (“ATTR”) amyloidosis and NTLA-2002 for the treatment of hereditary angioedema (“HAE”), are the first CRISPR/Cas9-based therapy candidates to be administered systemically, via intravenous (“IV”) infusion, for precision editing of a gene in a target tissue in humans.</w:t>
      </w:r>
      <w:r>
        <w:rPr>
          <w:rFonts w:ascii="Times New Roman" w:hAnsi="Times New Roman"/>
          <w:color w:val="FF0000"/>
          <w:sz w:val="20"/>
        </w:rPr>
        <w:t xml:space="preserve"> </w:t>
      </w:r>
      <w:r>
        <w:rPr>
          <w:rFonts w:ascii="Times New Roman" w:hAnsi="Times New Roman"/>
          <w:color w:val="000000"/>
          <w:sz w:val="20"/>
        </w:rPr>
        <w:t xml:space="preserve">In addition, we are advancing multiple </w:t>
      </w:r>
      <w:r>
        <w:rPr>
          <w:rFonts w:ascii="Times New Roman" w:hAnsi="Times New Roman"/>
          <w:i/>
          <w:color w:val="000000"/>
          <w:sz w:val="20"/>
        </w:rPr>
        <w:t>ex vivo</w:t>
      </w:r>
      <w:r>
        <w:rPr>
          <w:rFonts w:ascii="Times New Roman" w:hAnsi="Times New Roman"/>
          <w:color w:val="000000"/>
          <w:sz w:val="20"/>
        </w:rPr>
        <w:t xml:space="preserve"> programs, wholly owned and in collaboration with partners, for the treatment of immuno-oncology and autoimmune diseases.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CRISPR/Cas9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Nobel Prize-winning CRISPR/Cas9 system developed by one of our scientific co-founders, Dr. Jennifer Doudna, and her collaborators, offers a revolutionary approach for therapeutic development due to its broad ability to precisely edit the genome. This system can be used to make three general types of edits: knockouts, repairs and insertions. Each of these editing strategies takes advantage of the Cas9 endonuclease, an enzyme which can be programmed to edit double-stranded DNA at specific locations using a ribonucleic acid (“RNA”) molecule, called a guide RNA (“gRNA”). The desired edits result from naturally-occurring biological mechanisms that effect particular types of genetic alterations. CRISPR/Cas9 genome editing has the potential to make permanent, precisely targeted changes in a patient’s chromosomes and repair the underlying genetic mutation, whereas more traditional gene therapy typically involves introducing a non-permanent copy of a gene into a patient’s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Strategy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strategy is to advance our full-spectrum gene editing company, focused on developing and commercializing curative CRISPR/Cas9-based therapeutics, by leveraging our modular platforms. Our approach to realizing the broad potential of genome editing includes:</w:t>
      </w:r>
    </w:p>
    <w:p>
      <w:pPr>
        <w:pStyle w:val="TextBody"/>
        <w:bidi w:val="0"/>
        <w:spacing w:before="240" w:after="283"/>
        <w:jc w:val="both"/>
        <w:rPr>
          <w:rFonts w:ascii="Times New Roman" w:hAnsi="Times New Roman"/>
          <w:sz w:val="20"/>
        </w:rPr>
      </w:pPr>
      <w:r>
        <w:rPr>
          <w:rFonts w:ascii="Times New Roman" w:hAnsi="Times New Roman"/>
          <w:b/>
          <w:i/>
          <w:color w:val="000000"/>
          <w:sz w:val="20"/>
        </w:rPr>
        <w:t>Focusing on Indications that Enable Us to Fully Develop the Potential of the CRISPR/Cas9 System.</w:t>
      </w:r>
      <w:r>
        <w:rPr>
          <w:rFonts w:ascii="Times New Roman" w:hAnsi="Times New Roman"/>
          <w:color w:val="000000"/>
          <w:sz w:val="20"/>
        </w:rPr>
        <w:t xml:space="preserve"> To maximize our opportunity to rapidly develop clinically successful products, we have applied a risk-mitigated approach to selecting indications with significant unmet medical needs based on four primary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type of edit: knockout, repair or insertion;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delivery modality for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ex vivo</w:t>
      </w:r>
      <w:r>
        <w:rPr>
          <w:color w:val="000000"/>
        </w:rPr>
        <w:t xml:space="preserve"> </w:t>
      </w:r>
      <w:r>
        <w:rPr>
          <w:rFonts w:ascii="Times New Roman" w:hAnsi="Times New Roman"/>
          <w:color w:val="000000"/>
          <w:sz w:val="20"/>
        </w:rPr>
        <w:t>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existence of efficient regulatory pathways to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the CRISPR/Cas9 system to provide improved therapeutic benefits over existing therapeutic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these selection criteria position us to build a diversified pipeline, in which we are not reliant on any single delivery technology or editing approach for success. This approach has the potential to increase the probabilities of success in our initial indications and generate insights that will accelerate the development of additional therapeutic products. Specifically, we believe we can apply the learnings from our current programs to inform our selection of additional indications and targets of interest.</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Aggressively Pursuing </w:t>
      </w:r>
      <w:r>
        <w:rPr>
          <w:rFonts w:ascii="Times New Roman" w:hAnsi="Times New Roman"/>
          <w:b/>
          <w:color w:val="000000"/>
          <w:sz w:val="20"/>
        </w:rPr>
        <w:t>In Vivo</w:t>
      </w:r>
      <w:r>
        <w:rPr>
          <w:rFonts w:ascii="Times New Roman" w:hAnsi="Times New Roman"/>
          <w:color w:val="000000"/>
          <w:sz w:val="20"/>
        </w:rPr>
        <w:t xml:space="preserve"> </w:t>
      </w:r>
      <w:r>
        <w:rPr>
          <w:rFonts w:ascii="Times New Roman" w:hAnsi="Times New Roman"/>
          <w:b/>
          <w:i/>
          <w:color w:val="000000"/>
          <w:sz w:val="20"/>
        </w:rPr>
        <w:t xml:space="preserve">Liver Indications to Develop Therapeutics with Our Proprietary Delivery System. </w:t>
      </w:r>
      <w:r>
        <w:rPr>
          <w:rFonts w:ascii="Times New Roman" w:hAnsi="Times New Roman"/>
          <w:color w:val="000000"/>
          <w:sz w:val="20"/>
        </w:rPr>
        <w:t xml:space="preserve">For our </w:t>
      </w:r>
      <w:r>
        <w:rPr>
          <w:rFonts w:ascii="Times New Roman" w:hAnsi="Times New Roman"/>
          <w:i/>
          <w:color w:val="000000"/>
          <w:sz w:val="20"/>
        </w:rPr>
        <w:t>in vivo</w:t>
      </w:r>
      <w:r>
        <w:rPr>
          <w:rFonts w:ascii="Times New Roman" w:hAnsi="Times New Roman"/>
          <w:color w:val="000000"/>
          <w:sz w:val="20"/>
        </w:rPr>
        <w:t xml:space="preserve"> indications, we select well-validated targets in diseases with significant unmet medical needs where there are predictive biomarkers, or measurable indicators of a biological condition or state, with strong disease correlation and where the CRISPR/Cas9 technology and our proprietary delivery tools can be applied towards developing novel therapeutics. Our current </w:t>
      </w:r>
      <w:r>
        <w:rPr>
          <w:rFonts w:ascii="Times New Roman" w:hAnsi="Times New Roman"/>
          <w:i/>
          <w:color w:val="000000"/>
          <w:sz w:val="20"/>
        </w:rPr>
        <w:t>in vivo</w:t>
      </w:r>
      <w:r>
        <w:rPr>
          <w:rFonts w:ascii="Times New Roman" w:hAnsi="Times New Roman"/>
          <w:color w:val="000000"/>
          <w:sz w:val="20"/>
        </w:rPr>
        <w:t xml:space="preserve"> pipeline targets diseases of the liver. Our two lead clinical programs in development aim to treat ATTR amyloidosis and HAE. Both programs utilize our proprietary lipid nanoparticle (“LNP”) delivery system to knockout a target gene to halt production of an unwanted protein. In addition, we are developing therapeutic candidates that leverage our modular gene insertion platform to restore native protein for the treatment of the lung manifestation of alpha-1 antitrypsin deficiency (“AATD”), hemophilia A, hemophilia B, and additional disease indications.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Progressing </w:t>
      </w:r>
      <w:r>
        <w:rPr>
          <w:rFonts w:ascii="Times New Roman" w:hAnsi="Times New Roman"/>
          <w:b/>
          <w:color w:val="000000"/>
          <w:sz w:val="20"/>
        </w:rPr>
        <w:t>Ex Vivo</w:t>
      </w:r>
      <w:r>
        <w:rPr>
          <w:rFonts w:ascii="Times New Roman" w:hAnsi="Times New Roman"/>
          <w:color w:val="000000"/>
          <w:sz w:val="20"/>
        </w:rPr>
        <w:t xml:space="preserve"> </w:t>
      </w:r>
      <w:r>
        <w:rPr>
          <w:rFonts w:ascii="Times New Roman" w:hAnsi="Times New Roman"/>
          <w:b/>
          <w:i/>
          <w:color w:val="000000"/>
          <w:sz w:val="20"/>
        </w:rPr>
        <w:t>Therapeutic Programs.</w:t>
      </w:r>
      <w:r>
        <w:rPr>
          <w:rFonts w:ascii="Times New Roman" w:hAnsi="Times New Roman"/>
          <w:color w:val="000000"/>
          <w:sz w:val="20"/>
        </w:rPr>
        <w:t xml:space="preserve"> We are independently researching proprietary engineered cell therapies to treat various cancers and autoimmune diseases. We are deploying our LNP-based cell engineering platform and allogeneic technology, a first-of-its-kind engineering solution designed to avoid both T cell and natural killer (“NK”) cell-mediated rejection, to advance a pipeline of wholly owned and partnered </w:t>
      </w:r>
      <w:r>
        <w:rPr>
          <w:rFonts w:ascii="Times New Roman" w:hAnsi="Times New Roman"/>
          <w:i/>
          <w:color w:val="000000"/>
          <w:sz w:val="20"/>
        </w:rPr>
        <w:t>ex vivo</w:t>
      </w:r>
      <w:r>
        <w:rPr>
          <w:rFonts w:ascii="Times New Roman" w:hAnsi="Times New Roman"/>
          <w:color w:val="000000"/>
          <w:sz w:val="20"/>
        </w:rPr>
        <w:t xml:space="preserve"> programs. We are pursuing targeting modalities, such as T cell receptors (“TCRs”) and chimeric antigen receptors (“CARs”), with broad potential in multiple immuno-oncology and autoimmune indications.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Continuing to Leverage Strategic Partnerships to Accelerate Clinical Development. </w:t>
      </w:r>
      <w:r>
        <w:rPr>
          <w:rFonts w:ascii="Times New Roman" w:hAnsi="Times New Roman"/>
          <w:color w:val="000000"/>
          <w:sz w:val="20"/>
        </w:rPr>
        <w:t xml:space="preserve">We view strategic partnerships as important drivers for accelerating the achievement of our goal of rapidly developing potentially curative therapies. The potential application of the CRISPR/Cas9 system and derivative technologies is extremely broad, and we plan to continue to identify partners who can contribute meaningful resources and technical expertise to our programs and allow us to more rapidly bring scientific innovation to a broader patient population. For example, we continue to collaborate on </w:t>
      </w:r>
      <w:r>
        <w:rPr>
          <w:rFonts w:ascii="Times New Roman" w:hAnsi="Times New Roman"/>
          <w:i/>
          <w:color w:val="000000"/>
          <w:sz w:val="20"/>
        </w:rPr>
        <w:t xml:space="preserve">in vivo </w:t>
      </w:r>
      <w:r>
        <w:rPr>
          <w:rFonts w:ascii="Times New Roman" w:hAnsi="Times New Roman"/>
          <w:color w:val="000000"/>
          <w:sz w:val="20"/>
        </w:rPr>
        <w:t>programs with Regeneron Pharmaceuticals, Inc. (“Regeneron”), a leader in genetics-driven drug discovery and development, and to advance our collaborations with AvenCell Therapeutics, Inc. (“AvenCell”), a company with a world-leading clinical-stage universal chimeric antigen receptor T (“CAR-T”) cell platform; SparingVision SAS (“SparingVision”), a genomic medicine company developing vision saving treatments for ocular diseases; Kyverna Therapeutics, Inc. (“Kyverna”), a cell therapy company engineering a new class of therapies for autoimmune and inflammatory diseases; and ONK Therapeutics, Ltd. (“ONK”), a cell therapy company engineering a new class of NK cell therapies to treat cancer.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Growing Our Leadership Position in the Field of Genome Editing. </w:t>
      </w:r>
      <w:r>
        <w:rPr>
          <w:rFonts w:ascii="Times New Roman" w:hAnsi="Times New Roman"/>
          <w:color w:val="000000"/>
          <w:sz w:val="20"/>
        </w:rPr>
        <w:t>We believe we have built the broadest and deepest gene editing toolbox, which enables us to select the best tools for each therapeutic application. We continue to invest internally in developing and deploying our platform capabilities, including innovative genome editing, delivery and cell engineering technologies to advance new therapeutic programs. We will also continue to explore accessing external technologies or opportunities to enhance our leadership position in developing innovative therapeutics.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status of our most advanced programs:</w:t>
      </w:r>
    </w:p>
    <w:p>
      <w:pPr>
        <w:pStyle w:val="TextBody"/>
        <w:bidi w:val="0"/>
        <w:spacing w:before="120" w:after="283"/>
        <w:jc w:val="both"/>
        <w:rPr/>
      </w:pPr>
      <w:r>
        <w:rPr/>
        <w:drawing>
          <wp:inline distT="0" distB="0" distL="0" distR="0">
            <wp:extent cx="5943600" cy="3343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3275"/>
                    </a:xfrm>
                    <a:prstGeom prst="rect">
                      <a:avLst/>
                    </a:prstGeom>
                  </pic:spPr>
                </pic:pic>
              </a:graphicData>
            </a:graphic>
          </wp:inline>
        </w:drawing>
      </w: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In Vivo</w:t>
      </w:r>
      <w:r>
        <w:rPr>
          <w:rFonts w:ascii="Times New Roman" w:hAnsi="Times New Roman"/>
          <w:color w:val="000000"/>
          <w:sz w:val="20"/>
        </w:rPr>
        <w:t xml:space="preserve"> </w:t>
      </w:r>
      <w:r>
        <w:rPr>
          <w:rFonts w:ascii="Times New Roman" w:hAnsi="Times New Roman"/>
          <w:b/>
          <w:i/>
          <w:color w:val="000000"/>
          <w:sz w:val="20"/>
        </w:rPr>
        <w:t>Programs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selection criteria include identifying diseases that originate in the liver; have well-defined mutations that can be addressed by a knockout or insertion approach; have readily measurable therapeutic endpoints with observable clinical responses; and for which effective treatments are absent, limited or unduly burdensome. Our initial </w:t>
      </w:r>
      <w:r>
        <w:rPr>
          <w:rFonts w:ascii="Times New Roman" w:hAnsi="Times New Roman"/>
          <w:i/>
          <w:color w:val="000000"/>
          <w:sz w:val="20"/>
        </w:rPr>
        <w:t>in vivo</w:t>
      </w:r>
      <w:r>
        <w:rPr>
          <w:rFonts w:ascii="Times New Roman" w:hAnsi="Times New Roman"/>
          <w:color w:val="000000"/>
          <w:sz w:val="20"/>
        </w:rPr>
        <w:t xml:space="preserve"> indications target genetic liver diseases, including our ATTR amyloidosis, HAE and AATD development programs. Our current efforts on </w:t>
      </w:r>
      <w:r>
        <w:rPr>
          <w:rFonts w:ascii="Times New Roman" w:hAnsi="Times New Roman"/>
          <w:i/>
          <w:color w:val="000000"/>
          <w:sz w:val="20"/>
        </w:rPr>
        <w:t>in vivo</w:t>
      </w:r>
      <w:r>
        <w:rPr>
          <w:rFonts w:ascii="Times New Roman" w:hAnsi="Times New Roman"/>
          <w:color w:val="000000"/>
          <w:sz w:val="20"/>
        </w:rPr>
        <w:t xml:space="preserve"> delivery focus on the use of LNPs for delivery of the CRISPR/Cas9 complex to the liver.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Transthyretin (“ATTR”) Amyloidosis Program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Background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ATTR amyloidosis is a progressive and fatal disorder resulting from deposition of insoluble amyloid fibrils into multiple organs and tissues leading to systemic failure. Blood-borne transthyretin (“TTR”) protein is produced by hepatocytes and normally circulates as a soluble homotetramer that facilitates transport of vitamin A, via retinol binding protein, as well as the thyroid hormone, thyroxine. Mutations in the </w:t>
      </w:r>
      <w:r>
        <w:rPr>
          <w:rFonts w:ascii="Times New Roman" w:hAnsi="Times New Roman"/>
          <w:i/>
          <w:color w:val="000000"/>
          <w:sz w:val="20"/>
        </w:rPr>
        <w:t>TTR</w:t>
      </w:r>
      <w:r>
        <w:rPr>
          <w:rFonts w:ascii="Times New Roman" w:hAnsi="Times New Roman"/>
          <w:color w:val="000000"/>
          <w:sz w:val="20"/>
        </w:rPr>
        <w:t xml:space="preserve"> gene lead to the production of TTR proteins that are destabilized in their tetramer form. These tetramers more readily dissociate into the monomeric form, and thence to an aggregative form that results in amyloid deposits in tissues. These deposits cause damage in those tissues, resulting in a disorder known as hereditary ATTR amyloidosis (“ATTRv”). Over 120 different genetic mutations are currently known to cause ATTRv.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Deposits of TTR amyloid in the heart, nerves and/or other tissues can lead to diverse disease manifestations, including two main hereditary forms – ATTRv with polyneuropathy (“ATTRv-PN”), and ATTRv with cardiomyopathy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(“ATTRv-CM”). Typical onset of disease symptoms is during adulthood and can be fatal within two to 15 years. Estimates suggest that approximately 50,000 patients suffer from ATTRv worldwide.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to the hereditary forms described above, ATTR amyloidosis can also develop spontaneously in the absence of any </w:t>
      </w:r>
      <w:r>
        <w:rPr>
          <w:rFonts w:ascii="Times New Roman" w:hAnsi="Times New Roman"/>
          <w:i/>
          <w:color w:val="000000"/>
          <w:sz w:val="20"/>
        </w:rPr>
        <w:t>TTR</w:t>
      </w:r>
      <w:r>
        <w:rPr>
          <w:rFonts w:ascii="Times New Roman" w:hAnsi="Times New Roman"/>
          <w:color w:val="000000"/>
          <w:sz w:val="20"/>
        </w:rPr>
        <w:t xml:space="preserve"> gene mutation. This wild-type ATTR (“ATTRwt”) is increasingly being recognized as a significant and often undiagnosed cause of heart failure in the elderly and is the subject of active investigation. Recent estimates suggest that, globally, between 200,000 and 500,000 people may suffer from ATTRwt with cardiomyopathy (“ATTRwt-CM”).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Limitations of Current Treatment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Currently, there are four therapies for the treatment of ATTRv-PN approved in the United States (“U.S.”), and five approved in most major markets outside of the U.S. While these therapies have shown the potential to slow or halt the progression of neuropathic symptoms, and in some patients lead to an improvement in symptoms, their approved prescribing instructions require them to be administered chronically for the life of the patient in order to sustain benefit. Additionally, patient response to these therapies varies. While some patients may experience symptomatic improvement after being treated with these therapies, the disease continues to progress in many of the treated patients, which highlights the continued need for efficacious and potentially curative therapies. At present, there is only one therapy approved for transthyretin amyloidosis with cardiomyopathy (“ATTR-CM”) (including both ATTRv-CM and ATTRwt-CM) which has shown the ability to improve patient outcomes, though most patients still appear to have the progressive disease. As with the treatments for ATTRv-PN, chronic, lifetime dosing is required to sustain the therapeutic effects.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Approach</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NTLA-2001 is the first investigational CRISPR-based therapy to be systemically delivered to edit a target gene inside the human body. NTLA-2001 has the potential to become the first single-dose treatment for ATTR amyloidosis. It is designed to inactivate the </w:t>
      </w:r>
      <w:r>
        <w:rPr>
          <w:rFonts w:ascii="Times New Roman" w:hAnsi="Times New Roman"/>
          <w:i/>
          <w:color w:val="000000"/>
          <w:sz w:val="20"/>
        </w:rPr>
        <w:t>TTR</w:t>
      </w:r>
      <w:r>
        <w:rPr>
          <w:rFonts w:ascii="Times New Roman" w:hAnsi="Times New Roman"/>
          <w:color w:val="000000"/>
          <w:sz w:val="20"/>
        </w:rPr>
        <w:t xml:space="preserve"> gene that encodes for the TTR protein. Delivered with our </w:t>
      </w:r>
      <w:r>
        <w:rPr>
          <w:rFonts w:ascii="Times New Roman" w:hAnsi="Times New Roman"/>
          <w:i/>
          <w:color w:val="000000"/>
          <w:sz w:val="20"/>
        </w:rPr>
        <w:t>in vivo</w:t>
      </w:r>
      <w:r>
        <w:rPr>
          <w:rFonts w:ascii="Times New Roman" w:hAnsi="Times New Roman"/>
          <w:color w:val="000000"/>
          <w:sz w:val="20"/>
        </w:rPr>
        <w:t xml:space="preserve"> LNP technology, NTLA-2001 offers the possibility of halting and reversing the disease by driving a deep, consistent and potentially lifelong reduction in TTR protein after a single dose. Using this approach, we aim to address ATTR amyloidosis regardless of the disease manifestation. It has been clinically validated that a significant correlation between TTR protein reduction and therapeutic benefit exists. Additionally, these studies suggest that loss of </w:t>
      </w:r>
      <w:r>
        <w:rPr>
          <w:rFonts w:ascii="Times New Roman" w:hAnsi="Times New Roman"/>
          <w:i/>
          <w:color w:val="000000"/>
          <w:sz w:val="20"/>
        </w:rPr>
        <w:t>TTR</w:t>
      </w:r>
      <w:r>
        <w:rPr>
          <w:rFonts w:ascii="Times New Roman" w:hAnsi="Times New Roman"/>
          <w:color w:val="000000"/>
          <w:sz w:val="20"/>
        </w:rPr>
        <w:t xml:space="preserve"> gene expression from the liver would be well-tolerated in adult humans. We believe our approach may improve patient outcomes by significantly and consistently reducing TTR protein after a single dose, as opposed to life-long, chronic therapy.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About the NTLA-2001 Clinical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pivotal Phase 3 MAGNITUDE trial is a randomized, double-blind, placebo-controlled study to evaluate the efficacy and safety of NTLA-2001 in adults with ATTR-CM. We are actively enrolling patients, including in the U.S., and are on track to dose a first patient in the first quarter of 2024. The primary endpoint of the study is a composite of cardiovascular (“CV”)-related mortality and events. Patients will be randomized 2:1 NTLA-2001:placebo, with a single 55 mg infusion of NTLA-2001 administered. MAGNITUDE trial enrollment is ongoing and we are also actively preparing for a global pivotal Phase 3 study of NTLA-2001 for the treatment of ATTRv-PN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Advancing to a Phase 3 study was supported by a Phase 1 study of NTLA-2001, which was a two-part, open-label study in adults with ATTR amyloidosis, either ATTR-CM or ATTRv-PN.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both the ATTR-CM and ATTRv-PN arms of the Phase 1 study, the primary objectives were to assess the safety, tolerability, pharmacokinetics and pharmacodynamics of NTLA-2001. Patients received a single dose of NTLA-2001 via IV administration.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2023, we announced new positive interim data from the Phase 1 study of NTLA-2001. Updated data from over 60 patients showed consistent, deep, and durable serum TTR reduction was achieved with a single dose of NTLA-2001, including in 29 patients who reached 12 months or more of follow-up as of the data cutoff date of May 11, 2023. Across all patients who received a dose of 0.3 mg/kg or higher (n=62), the median serum TTR reduction was 91% and the median absolute residual serum TTR concentration was 17 ug/mL at day 28. Across all patients and at all dose levels tested, NTLA-2001 was generally well tolerated, and the majority of adverse events were mild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severity. These interim data were presented at the 4th International ATTR Amyloidosis Meeting, held in Madrid, Spain. We plan to present updated data from the ongoing Phase 1 study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NTLA-2001 has received orphan drug designation for the treatment of ATTR amyloidosis by both the European Commission (“EC”) and the U.S. Food and Drug Administration (“FDA”).</w:t>
      </w:r>
    </w:p>
    <w:p>
      <w:pPr>
        <w:pStyle w:val="TextBody"/>
        <w:bidi w:val="0"/>
        <w:spacing w:before="240" w:after="283"/>
        <w:jc w:val="both"/>
        <w:rPr>
          <w:rFonts w:ascii="Times New Roman" w:hAnsi="Times New Roman"/>
          <w:sz w:val="20"/>
        </w:rPr>
      </w:pPr>
      <w:r>
        <w:rPr>
          <w:rFonts w:ascii="Times New Roman" w:hAnsi="Times New Roman"/>
          <w:color w:val="000000"/>
          <w:sz w:val="20"/>
        </w:rPr>
        <w:t>NTLA-2001 is the subject of a co-development and co-promotion (“Co/Co”) arrangement directed to our first collaboration target with Regeneron, ATTR (the “ATTR Co/Co”), for which we are the clinical and commercial lead party and Regeneron is the participating party. Regeneron shares in approximately 25% of worldwide development costs and commercial profits for the ATTR program. For more information regarding our collaboration with Regeneron, see the section below entitled “</w:t>
      </w:r>
      <w:r>
        <w:rPr>
          <w:rFonts w:ascii="Times New Roman" w:hAnsi="Times New Roman"/>
          <w:b/>
          <w:color w:val="000000"/>
          <w:sz w:val="20"/>
        </w:rPr>
        <w:t>Collaborations -</w:t>
      </w:r>
      <w:r>
        <w:rPr>
          <w:rFonts w:ascii="Times New Roman" w:hAnsi="Times New Roman"/>
          <w:color w:val="000000"/>
          <w:sz w:val="20"/>
        </w:rPr>
        <w:t xml:space="preserve"> </w:t>
      </w:r>
      <w:r>
        <w:rPr>
          <w:rFonts w:ascii="Times New Roman" w:hAnsi="Times New Roman"/>
          <w:b/>
          <w:i/>
          <w:color w:val="000000"/>
          <w:sz w:val="20"/>
        </w:rPr>
        <w:t>Regeneron Pharmaceuticals, Inc.</w:t>
      </w:r>
      <w:r>
        <w:rPr>
          <w:rFonts w:ascii="Times New Roman" w:hAnsi="Times New Roman"/>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Hereditary Angioedema (“HAE”) Program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Background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HAE is a rare, genetic disease characterized by severe, recurring and unpredictable inflammatory attacks in various organs and tissues of the body, which can be painful, debilitating and life-threatening. The most common areas of the body to develop swelling are the limbs, face, intestinal tract and airway. Minor trauma or stress may trigger an attack but swelling often occurs without a known trigger. Episodes involving the intestinal tract cause severe abdominal pain, nausea and vomiting. Swelling in the airway can restrict breathing and lead to life-threatening obstruction of the airway. The disease is caused by increased levels of bradykinin, a protein which leads to swelling. Most patients with HAE have a deficiency of C1 esterase inhibitor (“C1-INH”) protein, which normally prevents the overproduction of bradykinin that causes the recurring, debilitating and potentially fatal swelling attacks in people living with HAE. It is estimated that approximately one in 50,000 people are affected by HAE.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Limitations of Current Treatment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 treatment options often include life-long therapies, which may require chronic IV or subcutaneous (“SC”) administration as often as twice per week, or daily oral administration to ensure constant pathway suppression for disease control. Despite chronic administration, breakthrough attacks still occur. Kallikrein inhibition is a clinically validated strategy for the preventive treatment of HAE attacks.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Approach</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NTLA-2002 is our wholly owned candidate for the treatment of HAE. NTLA-2002 is designed to knock out the </w:t>
      </w:r>
      <w:r>
        <w:rPr>
          <w:rFonts w:ascii="Times New Roman" w:hAnsi="Times New Roman"/>
          <w:i/>
          <w:color w:val="000000"/>
          <w:sz w:val="20"/>
        </w:rPr>
        <w:t xml:space="preserve">kallikrein B1 </w:t>
      </w:r>
      <w:r>
        <w:rPr>
          <w:rFonts w:ascii="Times New Roman" w:hAnsi="Times New Roman"/>
          <w:color w:val="000000"/>
          <w:sz w:val="20"/>
        </w:rPr>
        <w:t>(“</w:t>
      </w:r>
      <w:r>
        <w:rPr>
          <w:rFonts w:ascii="Times New Roman" w:hAnsi="Times New Roman"/>
          <w:i/>
          <w:color w:val="000000"/>
          <w:sz w:val="20"/>
        </w:rPr>
        <w:t>KLKB1</w:t>
      </w:r>
      <w:r>
        <w:rPr>
          <w:rFonts w:ascii="Times New Roman" w:hAnsi="Times New Roman"/>
          <w:color w:val="000000"/>
          <w:sz w:val="20"/>
        </w:rPr>
        <w:t>”) gene in the liver, with the potential to permanently reduce total plasma kallikrein protein and activity, a key mediator of HAE. This investigational approach aims to prevent attacks for people living with HAE by providing continuous reduction of plasma kallikrein activity following a single dose. It also aims to eliminate the significant treatment burden associated with currently available HAE therapies.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About the NTLA-2002 Clinical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multi-national Phase 1/2 study is evaluating the safety, tolerability, activity, pharmacokinetics and pharmacodynamics of NTLA-2002 in adults with Type I or Type II HAE. This includes the measurement of kallikrein protein levels and activity, as well as HAE attack rate. The Phase 1 portion of the study was an open-label, single-ascending dose design. Two dose levels of NTLA-2002 were identified from Phase 1 for further evaluation in the Phase 2, randomized, placebo-controlled portion of the study.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2024, we announced that enrollment and dosing was completed in the Phase 2 portion of the study. Data from the Phase 2 study will inform the dose of NTLA-2002 selected for the pivotal Phase 3 study. We expect to initiate the global pivotal Phase 3 study, including U.S. patients, in the second half of 2024, subject to regulatory feedback.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January 2024, we also announced that positive interim results from the Phase 1 portion of the Phase 1/2 study were published in the </w:t>
      </w:r>
      <w:r>
        <w:rPr>
          <w:rFonts w:ascii="Times New Roman" w:hAnsi="Times New Roman"/>
          <w:i/>
          <w:color w:val="000000"/>
          <w:sz w:val="20"/>
        </w:rPr>
        <w:t>New England Journal of Medicine</w:t>
      </w:r>
      <w:r>
        <w:rPr>
          <w:rFonts w:ascii="Times New Roman" w:hAnsi="Times New Roman"/>
          <w:color w:val="000000"/>
          <w:sz w:val="20"/>
        </w:rPr>
        <w:t xml:space="preserve">. These results were first reported in June 2023 at the European Academy of Allergy and Clinical Immunology Hybrid Congress. Across all ten patients, a 95% mean reduction in monthly attack rate was observed after a single dose of NTLA-2002 through the latest follow-up. The median duration of follow-up was 9.0 months (range of 5.6 - 14.1 months). At all three dose levels evaluated in the Phase 1 portion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study, NTLA-2002 was well tolerated, and the most frequent adverse events reported were mild, transient infusion-related reactions and fatigue. We plan to present updated data from the Phase 1 and new data from the Phase 2 portion of the study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received five regulatory designations for NTLA-2002, including orphan designation in the European Union (“EU”) granted by the EC in November 2023. NTLA-2002 was also granted orphan designation and Regenerative Medicine Advanced Therapy (“RMAT”) designation by the FDA, the Innovation Passport by the United Kingdom (“U.K.”) Medicines and Healthcare products Regulatory Agency (“MHRA”) as well as access to the Priority Medicine (“PRIME”) program by the European Medicines Agency (“EMA”). Access to the PRIME program is granted by the EMA to drug candidates that may offer a major therapeutic advantage over existing treatments or that benefit patients without treatment options.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Alpha-1 Antitrypsin Deficiency (“AATD”) Program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Background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AATD is a genetic disorder that results in increased risk for lung and/or liver disease. Alpha-1 antitrypsin (“A1AT”), which is encoded by the </w:t>
      </w:r>
      <w:r>
        <w:rPr>
          <w:rFonts w:ascii="Times New Roman" w:hAnsi="Times New Roman"/>
          <w:i/>
          <w:color w:val="000000"/>
          <w:sz w:val="20"/>
        </w:rPr>
        <w:t>SERPINA1</w:t>
      </w:r>
      <w:r>
        <w:rPr>
          <w:rFonts w:ascii="Times New Roman" w:hAnsi="Times New Roman"/>
          <w:color w:val="000000"/>
          <w:sz w:val="20"/>
        </w:rPr>
        <w:t xml:space="preserve"> gene, is a serine protease inhibitor that is primarily produced in the liver and has a wide range of biological functions, one of which is to inhibit neutrophil elastase. Patients with AATD have genetic variants of A1AT which cause the enzyme to accumulate in the liver, reducing the amount of functioning A1AT in the bloodstream. This has two prominent potential downstream clinical manifestations. The first is an increased risk for progressive liver disease, resulting from an accumulation of mutant A1AT enzyme in the liver. The second, and more common, effect is enhanced risk for emphysema resulting from reduced inhibition of neutrophil elastase in the lungs. Both clinical manifestations are progressive and potentially fatal.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estimated that there are approximately 250,000 individuals globally and greater than 60,000 individuals in the U.S. with the ZZ genotype, the genotype most associated with AATD and the downstream clinical manifestations. There are another 1.25 million individuals globally estimated to have the SZ genotype, who are also at enhanced risk of developing AATD. While augmentation therapy is available for the treatment of AATD, the effect on pulmonary exacerbations and on the progression of emphysema in AATD has not been conclusively demonstrated in randomized, controlled clinical trials.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Limitations of Current Treatment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multiple therapies approved by the FDA to treat patients with emphysema caused by hereditary AATD. All marketed therapies are plasma-derived alpha-1 proteinase inhibitors (alpha-1 antitrypsin) given through IV infusion, with the goal of augmenting naturally-occurring low levels of A1AT. To maintain benefit, current therapies are usually given weekly for the duration of a patient’s lifetime. Currently marketed therapies may slow the progression of disease and lung dysfunction, but there remains high unmet need for more effective, and less burdensome, therapies that can further slow, halt, or even reverse disease progression.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Approach</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NTLA-3001 is our wholly owned, first-in-class CRISPR-mediated </w:t>
      </w:r>
      <w:r>
        <w:rPr>
          <w:rFonts w:ascii="Times New Roman" w:hAnsi="Times New Roman"/>
          <w:i/>
          <w:color w:val="000000"/>
          <w:sz w:val="20"/>
        </w:rPr>
        <w:t>in vivo</w:t>
      </w:r>
      <w:r>
        <w:rPr>
          <w:rFonts w:ascii="Times New Roman" w:hAnsi="Times New Roman"/>
          <w:color w:val="000000"/>
          <w:sz w:val="20"/>
        </w:rPr>
        <w:t xml:space="preserve"> targeted gene insertion development candidate for the treatment of AATD-associated lung disease. It is designed to precisely insert a healthy copy of the </w:t>
      </w:r>
      <w:r>
        <w:rPr>
          <w:rFonts w:ascii="Times New Roman" w:hAnsi="Times New Roman"/>
          <w:i/>
          <w:color w:val="000000"/>
          <w:sz w:val="20"/>
        </w:rPr>
        <w:t>SERPINA1</w:t>
      </w:r>
      <w:r>
        <w:rPr>
          <w:rFonts w:ascii="Times New Roman" w:hAnsi="Times New Roman"/>
          <w:color w:val="000000"/>
          <w:sz w:val="20"/>
        </w:rPr>
        <w:t xml:space="preserve"> gene, which encodes the A1AT protein, with the potential to restore permanent expression of functional A1AT protein to therapeutic levels after a single dose. Our approach seeks to improve patient outcomes, including eliminating the need for weekly IV infusions of A1AT augmentation therapy or lung transplant in severe cases. In December 2023, we submitted a clinical trial application (“CTA”) to initiate a first-in-human, Phase 1 study of NTLA-3001 and plan to dose the first patient in 2024.</w:t>
      </w:r>
    </w:p>
    <w:p>
      <w:pPr>
        <w:pStyle w:val="TextBody"/>
        <w:bidi w:val="0"/>
        <w:spacing w:before="240" w:after="283"/>
        <w:jc w:val="both"/>
        <w:rPr>
          <w:rFonts w:ascii="Times New Roman" w:hAnsi="Times New Roman"/>
          <w:sz w:val="20"/>
        </w:rPr>
      </w:pPr>
      <w:r>
        <w:rPr>
          <w:rFonts w:ascii="Times New Roman" w:hAnsi="Times New Roman"/>
          <w:b/>
          <w:color w:val="000000"/>
          <w:sz w:val="20"/>
        </w:rPr>
        <w:t>In Vivo</w:t>
      </w:r>
      <w:r>
        <w:rPr>
          <w:rFonts w:ascii="Times New Roman" w:hAnsi="Times New Roman"/>
          <w:color w:val="000000"/>
          <w:sz w:val="20"/>
        </w:rPr>
        <w:t xml:space="preserve"> </w:t>
      </w:r>
      <w:r>
        <w:rPr>
          <w:rFonts w:ascii="Times New Roman" w:hAnsi="Times New Roman"/>
          <w:b/>
          <w:i/>
          <w:color w:val="000000"/>
          <w:sz w:val="20"/>
        </w:rPr>
        <w:t>Research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work on various liver-focused programs, such as hemophilia A and hemophilia B, which we are co-developing with Regeneron, as well as other liver targets, which we are working on both independently and in partnership with Regeneron, that would leverage our wide-ranging gene editing capabilities to knockout, insert and make consecutive edits to the genome.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further advancing editing and delivery strategies to expand the reach of CRISPR-based gene editing to tissues outside of the liver. For example, we have presented preclinical data establishing proof-of-concept for non-viral genome editing of bone marrow and hematopoietic stem cells (“HSCs”) in mice. This represented our first demonstration of systemic </w:t>
      </w:r>
      <w:r>
        <w:rPr>
          <w:rFonts w:ascii="Times New Roman" w:hAnsi="Times New Roman"/>
          <w:i/>
          <w:color w:val="000000"/>
          <w:sz w:val="20"/>
        </w:rPr>
        <w:t xml:space="preserve">in vivo </w:t>
      </w:r>
      <w:r>
        <w:rPr>
          <w:rFonts w:ascii="Times New Roman" w:hAnsi="Times New Roman"/>
          <w:color w:val="000000"/>
          <w:sz w:val="20"/>
        </w:rPr>
        <w:t xml:space="preserve">genome editing in bone marrow using our proprietary non-viral delivery platform. We believe these results extend our modular </w:t>
      </w:r>
      <w:r>
        <w:rPr>
          <w:rFonts w:ascii="Times New Roman" w:hAnsi="Times New Roman"/>
          <w:i/>
          <w:color w:val="000000"/>
          <w:sz w:val="20"/>
        </w:rPr>
        <w:t>in vivo</w:t>
      </w:r>
      <w:r>
        <w:rPr>
          <w:rFonts w:ascii="Times New Roman" w:hAnsi="Times New Roman"/>
          <w:color w:val="000000"/>
          <w:sz w:val="20"/>
        </w:rPr>
        <w:t xml:space="preserve"> capabilities to treat inherited blood disorders such as sickle cell disease. In September 2023, we entered into an expanded research collaboration with Regeneron to develop additional </w:t>
      </w:r>
      <w:r>
        <w:rPr>
          <w:rFonts w:ascii="Times New Roman" w:hAnsi="Times New Roman"/>
          <w:i/>
          <w:color w:val="000000"/>
          <w:sz w:val="20"/>
        </w:rPr>
        <w:t>in vivo</w:t>
      </w:r>
      <w:r>
        <w:rPr>
          <w:rFonts w:ascii="Times New Roman" w:hAnsi="Times New Roman"/>
          <w:color w:val="000000"/>
          <w:sz w:val="20"/>
        </w:rPr>
        <w:t xml:space="preserve"> CRISPR-based gene editing therapies focused on neurological and muscular diseases. In addition, we are collaborating with SparingVision to develop novel genomic medicines utilizing CRISPR/Cas9 technology for the treatment of ocular diseases.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Ex Vivo </w:t>
      </w:r>
      <w:r>
        <w:rPr>
          <w:rFonts w:ascii="Times New Roman" w:hAnsi="Times New Roman"/>
          <w:b/>
          <w:i/>
          <w:color w:val="000000"/>
          <w:sz w:val="20"/>
        </w:rPr>
        <w:t>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advancing multiple preclinical programs, wholly owned and in collaboration with partners, utilizing our allogeneic platform for the treatment of immuno-oncology and autoimmune diseases. Our proprietary allogeneic cell engineering platform is designed to avoid both T cell- and NK cell-mediated rejection, a key unsolved challenge with other investigational allogeneic approaches.</w:t>
      </w:r>
    </w:p>
    <w:p>
      <w:pPr>
        <w:pStyle w:val="TextBody"/>
        <w:bidi w:val="0"/>
        <w:spacing w:before="240" w:after="160"/>
        <w:jc w:val="both"/>
        <w:rPr>
          <w:color w:val="000000"/>
        </w:rPr>
      </w:pPr>
      <w:r>
        <w:rPr>
          <w:color w:val="000000"/>
        </w:rPr>
        <w:t>•</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We are developing allogeneic cellular therapies, which are cells derived from unrelated donors and modified outside of the human body to allow them to be administered to an unrelated patient. These allogeneic cellular therapies could be used to treat both oncological and immunological diseases. Our proprietary technologies, including our LNP-based cell engineering platform and novel allogeneic solution, are designed to offer significant advantages over both autologous cell therapies and allogeneic approaches being investigated by others. Preclinical data presented on our differentiated allogeneic engineering platform showed allogeneic T cells were shielded from immune rejection, both host T and NK cell attack.</w:t>
      </w:r>
    </w:p>
    <w:p>
      <w:pPr>
        <w:pStyle w:val="TextBody"/>
        <w:bidi w:val="0"/>
        <w:spacing w:before="120" w:after="160"/>
        <w:jc w:val="both"/>
        <w:rPr>
          <w:color w:val="000000"/>
        </w:rPr>
      </w:pPr>
      <w:r>
        <w:rPr>
          <w:color w:val="000000"/>
        </w:rPr>
        <w: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We are advancing engineered CAR and TCR cells as immuno-oncological therapies. </w:t>
      </w:r>
    </w:p>
    <w:p>
      <w:pPr>
        <w:pStyle w:val="TextBody"/>
        <w:bidi w:val="0"/>
        <w:spacing w:before="120" w:after="160"/>
        <w:jc w:val="both"/>
        <w:rPr>
          <w:color w:val="000000"/>
        </w:rPr>
      </w:pPr>
      <w:r>
        <w:rPr>
          <w:color w:val="000000"/>
        </w:rPr>
        <w:t>•</w:t>
      </w:r>
    </w:p>
    <w:p>
      <w:pPr>
        <w:pStyle w:val="TextBody"/>
        <w:bidi w:val="0"/>
        <w:spacing w:before="120" w:after="160"/>
        <w:jc w:val="both"/>
        <w:rPr/>
      </w:pPr>
      <w:r>
        <w:rPr>
          <w:rFonts w:ascii="Times New Roman" w:hAnsi="Times New Roman"/>
          <w:color w:val="000000"/>
          <w:sz w:val="20"/>
        </w:rPr>
        <w:t xml:space="preserve">In addition, we strategically partner with others who possess complementary capabilities or technologies to bring forth innovative engineered cell therapy candidates outside of our core areas of focus. This includes collaborations with AvenCell and Kyverna, who are leveraging our </w:t>
      </w:r>
      <w:r>
        <w:rPr>
          <w:rFonts w:ascii="Times New Roman" w:hAnsi="Times New Roman"/>
          <w:i/>
          <w:color w:val="000000"/>
          <w:sz w:val="20"/>
        </w:rPr>
        <w:t>ex vivo</w:t>
      </w:r>
      <w:r>
        <w:rPr>
          <w:color w:val="000000"/>
        </w:rPr>
        <w:t xml:space="preserve"> </w:t>
      </w:r>
      <w:r>
        <w:rPr>
          <w:rFonts w:ascii="Times New Roman" w:hAnsi="Times New Roman"/>
          <w:color w:val="000000"/>
          <w:sz w:val="20"/>
        </w:rPr>
        <w:t>allogeneic cell engineering platform to develop novel CAR-T cell therapy candidates for a variety of therapeutic indications, as well as ONK to advance CRISPR-edited NK cell therapy candidates.</w:t>
      </w:r>
    </w:p>
    <w:p>
      <w:pPr>
        <w:pStyle w:val="TextBody"/>
        <w:bidi w:val="0"/>
        <w:spacing w:before="240" w:after="283"/>
        <w:jc w:val="both"/>
        <w:rPr>
          <w:rFonts w:ascii="Times New Roman" w:hAnsi="Times New Roman"/>
          <w:sz w:val="20"/>
        </w:rPr>
      </w:pPr>
      <w:r>
        <w:rPr>
          <w:rFonts w:ascii="Times New Roman" w:hAnsi="Times New Roman"/>
          <w:b/>
          <w:color w:val="000000"/>
          <w:sz w:val="20"/>
        </w:rPr>
        <w:t>Ex Vivo</w:t>
      </w:r>
      <w:r>
        <w:rPr>
          <w:rFonts w:ascii="Times New Roman" w:hAnsi="Times New Roman"/>
          <w:color w:val="000000"/>
          <w:sz w:val="20"/>
        </w:rPr>
        <w:t xml:space="preserve"> </w:t>
      </w:r>
      <w:r>
        <w:rPr>
          <w:rFonts w:ascii="Times New Roman" w:hAnsi="Times New Roman"/>
          <w:b/>
          <w:i/>
          <w:color w:val="000000"/>
          <w:sz w:val="20"/>
        </w:rPr>
        <w:t>Research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researching engineered cell therapies to treat a range of hematological and solid tumors. We are pursuing modalities, such as TCRs and CARs, with broad potential in multiple indications. We are advancing efforts for allogeneic therapies to move from liquid to solid tumors. Our researchers are developing and improving cell-engineering manufacturing and delivery processes that, we believe, may allow us to deliver T cell therapies with high levels of editing, robust levels of cell expansion, desirable memory phenotypes, improved function and no translocations above background levels.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proprietary T cell engineering process using LNPs to engineer cell therapies enables multiple, sequential gene edits. We have shared preclinical data demonstrating that our LNP-based engineering technology is a significant improvement over electroporation, the standard engineering process used to introduce proteins and nucleic acids into cells. The resulting T cells engineered with LNPs had improved cell properties and performance both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 xml:space="preserve">in vivo </w:t>
      </w:r>
      <w:r>
        <w:rPr>
          <w:rFonts w:ascii="Times New Roman" w:hAnsi="Times New Roman"/>
          <w:color w:val="000000"/>
          <w:sz w:val="20"/>
        </w:rPr>
        <w:t xml:space="preserve">as compared to electroporation. The data support the ability of our platform to be used for a variety of targeting modalities, including CARs and TCRs, and to support both autologous and allogeneic T cell candidates. The LNP-based approach has been used in multiple </w:t>
      </w:r>
      <w:r>
        <w:rPr>
          <w:rFonts w:ascii="Times New Roman" w:hAnsi="Times New Roman"/>
          <w:i/>
          <w:color w:val="000000"/>
          <w:sz w:val="20"/>
        </w:rPr>
        <w:t>ex vivo</w:t>
      </w:r>
      <w:r>
        <w:rPr>
          <w:rFonts w:ascii="Times New Roman" w:hAnsi="Times New Roman"/>
          <w:color w:val="000000"/>
          <w:sz w:val="20"/>
        </w:rPr>
        <w:t xml:space="preserve"> candidates in development by us and our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proprietary allogeneic solution to create engineered T cells with high anti-tumor activity may be uniquely capable of persisting in the patient to maintain durable responses. Notably, a novel combination of gene edits, including knockout of specific human leukocyte antigen (“HLA”) Class II and some HLA proteins while retaining other HLA proteins, yielded T cells capable of avoiding rejection by host T and NK cells in preclinical models. With our approach, we are able to pursue a simplified HLA matching strategy between healthy donor T cells and recipient patients, allowing for the development of an “off-the-shelf” therapy that addresses the majority of the patient population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only a small set of donors. Our allogeneic platform is being deployed for investigational TCR-T and CAR-T cell therapies.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genome editing capabilities include a novel, proprietary cytosine deaminase base editor technology. We have demonstrated the technology’s potential for enhanced cell engineering, with multiple simultaneous gene knockouts achieving &gt;90% T cell editing efficiency and no detectable increase in translocation above background levels.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Genome-Editing Platform</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robust genome-editing platform forms the foundation of our full-spectrum therapeutic product pipeline based on CRISPR/Cas9 and derivative technologies. Our modular platform is based on our proprietary components that can serve both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ex vivo</w:t>
      </w:r>
      <w:r>
        <w:rPr>
          <w:rFonts w:ascii="Times New Roman" w:hAnsi="Times New Roman"/>
          <w:color w:val="000000"/>
          <w:sz w:val="20"/>
        </w:rPr>
        <w:t xml:space="preserve"> programs, as well as our delivery technologies that can be used in either program type. In addition to the components described below, we believe we have developed robust, high volume (high throughput) capabilities centering around enabling strategic target identification and validation that we believe will provide us with a competitive advantage in creating successful therapeutic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committed to staying at the forefront of the genome editing revolution and will continue to advance our technology platform through a mix of both internal research and development and external opportunities in order to potentially serve more patients across a broad set of diseases. With proprietary CRISPR/Cas9-based technology at the core of our platform, we have built a comprehensive set of editing and delivery tools to expand our current solutions for therapeutic application. These additions include our proprietary base editor, as well as novel CRISPR-derivative enzymes, which provide us with the capabilities to achieve multiple editing strategies.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Informatics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built a high throughput, scalable data processing and analysis, or informatics, infrastructure to support various aspects of our platform, including gRNA selection and evaluation of on- and off-target editing in cells. Depending on the desired editing strategy, we use proprietary bioinformatics methods to design candidate guides and select those that we believe are both highly specific and have high cutting efficiency. As we grow our experimental data set, we continue to incorporate gRNA performance into our algorithms to improve their predictive power.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Guide RNA Qualification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process to identify gRNAs for potential development candidates, we screen numerous gRNAs for their ability to generate the required edit at the genomic site of interest, called on-target activity, as well as any potential propensity to generate unwanted events at other sites in the genome, also known as off-target activity. To evaluate on-target activity, we use high throughput sequencing methods to analyze the genomes of edited cells, allowing us to assess overall editing efficiency and to examine the nature of the editing events, such as specific insertions or deletions.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gRNAs selected through our primary on-target screens, we perform a variety of analyses to look for possible off-target editing events, including bioinformatic evaluations and experimental methods. Part of our approach involves identifying candidates with no or few off-target sites based on experimental measurements of genome-wide DNA breaks, as well as targeted sequencing of such candidate sites to evaluate actual off-target editing events in relevant cell types. We continue to optimize our gRNA qualification capability over time by increasing our throughput, improving our off-target activity detection accuracy and increasing our bioinformatics predictive accuracy.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Guide RNA Format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CRISPR/Cas9 systems can function with gRNAs having a variety of modifications, such as changes to the gRNA sequence or chemical modifications of nucleotides. As part of our development of CRISPR/Cas9 therapeutics, we have engineered modified gRNAs to, for example, improve editing efficiency, specificity and stability inside cells, as well as to reduce the likelihood of an immune response. We believe our work in this area will allow us to develop the most appropriate gRNAs for therapeutic applications.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Nuclease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current preferred Cas9 protein is derived from a species of bacteria called </w:t>
      </w:r>
      <w:r>
        <w:rPr>
          <w:rFonts w:ascii="Times New Roman" w:hAnsi="Times New Roman"/>
          <w:i/>
          <w:color w:val="000000"/>
          <w:sz w:val="20"/>
        </w:rPr>
        <w:t>S. pyogenes</w:t>
      </w:r>
      <w:r>
        <w:rPr>
          <w:rFonts w:ascii="Times New Roman" w:hAnsi="Times New Roman"/>
          <w:color w:val="000000"/>
          <w:sz w:val="20"/>
        </w:rPr>
        <w:t xml:space="preserve"> (“</w:t>
      </w:r>
      <w:r>
        <w:rPr>
          <w:rFonts w:ascii="Times New Roman" w:hAnsi="Times New Roman"/>
          <w:i/>
          <w:color w:val="000000"/>
          <w:sz w:val="20"/>
        </w:rPr>
        <w:t>Spy”</w:t>
      </w:r>
      <w:r>
        <w:rPr>
          <w:rFonts w:ascii="Times New Roman" w:hAnsi="Times New Roman"/>
          <w:color w:val="000000"/>
          <w:sz w:val="20"/>
        </w:rPr>
        <w:t xml:space="preserve">), which is the Cas9 used in the vast majority of published CRISPR/Cas9 literature to date. We are exploring other naturally occurring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Cas9 proteins and nucleases from other bacteria, which may differ from </w:t>
      </w:r>
      <w:r>
        <w:rPr>
          <w:rFonts w:ascii="Times New Roman" w:hAnsi="Times New Roman"/>
          <w:i/>
          <w:color w:val="000000"/>
          <w:sz w:val="20"/>
        </w:rPr>
        <w:t>Spy</w:t>
      </w:r>
      <w:r>
        <w:rPr>
          <w:rFonts w:ascii="Times New Roman" w:hAnsi="Times New Roman"/>
          <w:color w:val="000000"/>
          <w:sz w:val="20"/>
        </w:rPr>
        <w:t xml:space="preserve"> Cas9 in aspects such as specificity, size or mechanism of DNA recognition, binding and cutting. We are pursuing these alternative Cas9 forms and other nucleases through ongoing internal work, collaborations with our existing partners and scientific founders, and in-licensing opportunities. We also are investigating targeted modifications of Cas9 that can modulate DNA activity by mechanisms other than cleavage. We believe that different therapeutic applications may be best addressed using different forms of Cas9 or other nucleases, depending on the target cell or tissue of interest, the delivery method and the desired type of edit.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Types of Edits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Knockout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CRISPR/Cas9 system, by itself, primarily functions to cut DNA, while the resulting desired therapeutic editing events are performed by the cell, subsequent to the cut, as the cell seeks to rejoin the cut ends. One type of edit is caused by a DNA repair mechanism that is prone to losing or adding short lengths of DNA around the cut site. The resulting changes in the DNA impair the function of any encoded protein, causing a knockout edit. Using a combination of our informatics, gRNA qualification and format, and nuclease platform capabilities, we have developed an efficient process to identify gRNAs that create this kind of edit at high frequency while possessing high specificity for the on-target site and no substantial off-target effects.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Based on both NHP and rodent disease models, we have demonstrated the ability to knockout multiple targets in the liver, including </w:t>
      </w:r>
      <w:r>
        <w:rPr>
          <w:rFonts w:ascii="Times New Roman" w:hAnsi="Times New Roman"/>
          <w:i/>
          <w:color w:val="000000"/>
          <w:sz w:val="20"/>
        </w:rPr>
        <w:t>TTR</w:t>
      </w:r>
      <w:r>
        <w:rPr>
          <w:rFonts w:ascii="Times New Roman" w:hAnsi="Times New Roman"/>
          <w:color w:val="000000"/>
          <w:sz w:val="20"/>
        </w:rPr>
        <w:t xml:space="preserve">, </w:t>
      </w:r>
      <w:r>
        <w:rPr>
          <w:rFonts w:ascii="Times New Roman" w:hAnsi="Times New Roman"/>
          <w:i/>
          <w:color w:val="000000"/>
          <w:sz w:val="20"/>
        </w:rPr>
        <w:t>KLKB1</w:t>
      </w:r>
      <w:r>
        <w:rPr>
          <w:rFonts w:ascii="Times New Roman" w:hAnsi="Times New Roman"/>
          <w:color w:val="000000"/>
          <w:sz w:val="20"/>
        </w:rPr>
        <w:t xml:space="preserve">, </w:t>
      </w:r>
      <w:r>
        <w:rPr>
          <w:rFonts w:ascii="Times New Roman" w:hAnsi="Times New Roman"/>
          <w:i/>
          <w:color w:val="000000"/>
          <w:sz w:val="20"/>
        </w:rPr>
        <w:t>SERPINA1</w:t>
      </w:r>
      <w:r>
        <w:rPr>
          <w:rFonts w:ascii="Times New Roman" w:hAnsi="Times New Roman"/>
          <w:color w:val="000000"/>
          <w:sz w:val="20"/>
        </w:rPr>
        <w:t>, hydroxyacid oxidase 1 (“</w:t>
      </w:r>
      <w:r>
        <w:rPr>
          <w:rFonts w:ascii="Times New Roman" w:hAnsi="Times New Roman"/>
          <w:i/>
          <w:color w:val="000000"/>
          <w:sz w:val="20"/>
        </w:rPr>
        <w:t>HAO1”)</w:t>
      </w:r>
      <w:r>
        <w:rPr>
          <w:rFonts w:ascii="Times New Roman" w:hAnsi="Times New Roman"/>
          <w:color w:val="000000"/>
          <w:sz w:val="20"/>
        </w:rPr>
        <w:t xml:space="preserve"> and lactate dehydrogenase A (“</w:t>
      </w:r>
      <w:r>
        <w:rPr>
          <w:rFonts w:ascii="Times New Roman" w:hAnsi="Times New Roman"/>
          <w:i/>
          <w:color w:val="000000"/>
          <w:sz w:val="20"/>
        </w:rPr>
        <w:t>LDHA”)</w:t>
      </w:r>
      <w:r>
        <w:rPr>
          <w:rFonts w:ascii="Times New Roman" w:hAnsi="Times New Roman"/>
          <w:color w:val="000000"/>
          <w:sz w:val="20"/>
        </w:rPr>
        <w:t>. We believe these data demonstrate the modular nature of our proprietary LNP delivery system.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 Insertion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While knockout edits can be made using solely a Cas9 protein and gRNA, other kinds of editing, involving repair and insertion, additionally require a template DNA that contains a desired genomic sequence that may be inserted or used to correct a patient’s original sequence. For </w:t>
      </w:r>
      <w:r>
        <w:rPr>
          <w:rFonts w:ascii="Times New Roman" w:hAnsi="Times New Roman"/>
          <w:i/>
          <w:color w:val="000000"/>
          <w:sz w:val="20"/>
        </w:rPr>
        <w:t>ex vivo</w:t>
      </w:r>
      <w:r>
        <w:rPr>
          <w:rFonts w:ascii="Times New Roman" w:hAnsi="Times New Roman"/>
          <w:color w:val="000000"/>
          <w:sz w:val="20"/>
        </w:rPr>
        <w:t xml:space="preserve"> applications, in addition to delivering a Cas9-gRNA complex to cleave the cellular DNA sequence at the desired location, the desired DNA template may be delivered by physical means such as LNP in combination with a Cas9-gRNA complex, or by other means such as viral vectors or chemical means. For </w:t>
      </w:r>
      <w:r>
        <w:rPr>
          <w:rFonts w:ascii="Times New Roman" w:hAnsi="Times New Roman"/>
          <w:i/>
          <w:color w:val="000000"/>
          <w:sz w:val="20"/>
        </w:rPr>
        <w:t>in vivo</w:t>
      </w:r>
      <w:r>
        <w:rPr>
          <w:rFonts w:ascii="Times New Roman" w:hAnsi="Times New Roman"/>
          <w:color w:val="000000"/>
          <w:sz w:val="20"/>
        </w:rPr>
        <w:t xml:space="preserve"> applications, we have developed combination approaches for delivering the editing machinery by LNP, and the repair and insertion templates by adeno-associated virus (“AAV”) vectors. We are independently advancing our </w:t>
      </w:r>
      <w:r>
        <w:rPr>
          <w:rFonts w:ascii="Times New Roman" w:hAnsi="Times New Roman"/>
          <w:i/>
          <w:color w:val="000000"/>
          <w:sz w:val="20"/>
        </w:rPr>
        <w:t>in vivo</w:t>
      </w:r>
      <w:r>
        <w:rPr>
          <w:rFonts w:ascii="Times New Roman" w:hAnsi="Times New Roman"/>
          <w:color w:val="000000"/>
          <w:sz w:val="20"/>
        </w:rPr>
        <w:t xml:space="preserve"> gene insertion platform for multiple genes of interest to treat a variety of diseases, such as AATD, and working closely with Regeneron to advance programs for the treatment of hemophilia A and hemophilia B. We have demonstrated in NHP and rodent preclinical models the ability to precisely insert a gene, including </w:t>
      </w:r>
      <w:r>
        <w:rPr>
          <w:rFonts w:ascii="Times New Roman" w:hAnsi="Times New Roman"/>
          <w:i/>
          <w:color w:val="000000"/>
          <w:sz w:val="20"/>
        </w:rPr>
        <w:t xml:space="preserve">SERPINA1 </w:t>
      </w:r>
      <w:r>
        <w:rPr>
          <w:rFonts w:ascii="Times New Roman" w:hAnsi="Times New Roman"/>
          <w:color w:val="000000"/>
          <w:sz w:val="20"/>
        </w:rPr>
        <w:t xml:space="preserve">and </w:t>
      </w:r>
      <w:r>
        <w:rPr>
          <w:rFonts w:ascii="Times New Roman" w:hAnsi="Times New Roman"/>
          <w:i/>
          <w:color w:val="000000"/>
          <w:sz w:val="20"/>
        </w:rPr>
        <w:t>Factor 9 (“F9”</w:t>
      </w:r>
      <w:r>
        <w:rPr>
          <w:rFonts w:ascii="Times New Roman" w:hAnsi="Times New Roman"/>
          <w:color w:val="000000"/>
          <w:sz w:val="20"/>
        </w:rPr>
        <w:t>) , to produce normal human levels of the missing protein.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February 2024, Regeneron and Intellia announced the clearance by the FDA of an investigational new drug (“IND”) application to initiate a clinical trial for our investigational </w:t>
      </w:r>
      <w:r>
        <w:rPr>
          <w:rFonts w:ascii="Times New Roman" w:hAnsi="Times New Roman"/>
          <w:i/>
          <w:color w:val="000000"/>
          <w:sz w:val="20"/>
        </w:rPr>
        <w:t>in vivo</w:t>
      </w:r>
      <w:r>
        <w:rPr>
          <w:rFonts w:ascii="Times New Roman" w:hAnsi="Times New Roman"/>
          <w:color w:val="000000"/>
          <w:sz w:val="20"/>
        </w:rPr>
        <w:t xml:space="preserve"> CRISPR-based </w:t>
      </w:r>
      <w:r>
        <w:rPr>
          <w:rFonts w:ascii="Times New Roman" w:hAnsi="Times New Roman"/>
          <w:i/>
          <w:color w:val="000000"/>
          <w:sz w:val="20"/>
        </w:rPr>
        <w:t>F9</w:t>
      </w:r>
      <w:r>
        <w:rPr>
          <w:rFonts w:ascii="Times New Roman" w:hAnsi="Times New Roman"/>
          <w:color w:val="000000"/>
          <w:sz w:val="20"/>
        </w:rPr>
        <w:t xml:space="preserve"> gene insertion program for people living with hemophilia B. A Phase 1, first-in-human study is expected to begin in mid-2024. Regeneron leads development and commercialization of hemophilia A and B programs in collaboration with us.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DNA Writing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DNA writing technology may enable a range of precise editing strategies. These strategies include targeted corrections, insertions, deletions, and the full range of single-nucleotide changes, which could provide new ways to edit disease-causing genes and broaden the therapeutic potential for genomic medicines.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Vivo </w:t>
      </w:r>
      <w:r>
        <w:rPr>
          <w:rFonts w:ascii="Times New Roman" w:hAnsi="Times New Roman"/>
          <w:i/>
          <w:color w:val="000000"/>
          <w:sz w:val="20"/>
        </w:rPr>
        <w:t>Delivery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focusing our initial </w:t>
      </w:r>
      <w:r>
        <w:rPr>
          <w:rFonts w:ascii="Times New Roman" w:hAnsi="Times New Roman"/>
          <w:i/>
          <w:color w:val="000000"/>
          <w:sz w:val="20"/>
        </w:rPr>
        <w:t>in vivo</w:t>
      </w:r>
      <w:r>
        <w:rPr>
          <w:rFonts w:ascii="Times New Roman" w:hAnsi="Times New Roman"/>
          <w:color w:val="000000"/>
          <w:sz w:val="20"/>
        </w:rPr>
        <w:t xml:space="preserve"> applications in the liver, where we deliver the CRISPR/Cas9 therapy intravenously to patients using our proprietary LNP platform.</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proprietary LNPs encapsulate the therapeutic cargo, providing it with stability, selective delivery, improved pharmacologic properties and controlled circulation time. Our therapeutic cargo is designed to degrade relatively quickly, resulting in transient expression of Cas9. We see multiple advantages of using LNPs as an </w:t>
      </w:r>
      <w:r>
        <w:rPr>
          <w:rFonts w:ascii="Times New Roman" w:hAnsi="Times New Roman"/>
          <w:i/>
          <w:color w:val="000000"/>
          <w:sz w:val="20"/>
        </w:rPr>
        <w:t>in vivo</w:t>
      </w:r>
      <w:r>
        <w:rPr>
          <w:rFonts w:ascii="Times New Roman" w:hAnsi="Times New Roman"/>
          <w:color w:val="000000"/>
          <w:sz w:val="20"/>
        </w:rPr>
        <w:t xml:space="preserve"> delivery vehicle, particularly as optimized by us for delivery of the CRISPR/Cas9 system or its components. First, LNPs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been clinically validated as an effective delivery vehicle of therapeutic nucleic acids to the liver after IV administration. LNPs have shown to have favorable tolerability in humans, with toxicities being dose-dependent, monitorable and reversible. Additionally, LNPs are chemically well-defined and have a completely synthetic route of manufacture, which permits greater scalability, product quality and controls. LNPs are tunable, do not exhibit cargo size limitations and can co-formulate different nucleic acid components, such as messenger RNA and gRNAs. There is no pre-existing immunity to the LNP or limiting de novo immunity after dosing, allowing for repeat dosing as required by the therapeutic approach. We are currently advancing our programs using our proprietary LNP delivery system, which uses a set of biodegradable, well-tolerated lipids, based on lipids originally developed by Novartis Institutes for BioMedical Research, Inc. (“Novartis”) and in-licensed by us for use with all genome editing technologies, including CRISPR/Cas9 products. To date, we have successfully demonstrated well-tolerated </w:t>
      </w:r>
      <w:r>
        <w:rPr>
          <w:rFonts w:ascii="Times New Roman" w:hAnsi="Times New Roman"/>
          <w:i/>
          <w:color w:val="000000"/>
          <w:sz w:val="20"/>
        </w:rPr>
        <w:t>in vivo</w:t>
      </w:r>
      <w:r>
        <w:rPr>
          <w:rFonts w:ascii="Times New Roman" w:hAnsi="Times New Roman"/>
          <w:color w:val="000000"/>
          <w:sz w:val="20"/>
        </w:rPr>
        <w:t xml:space="preserve"> editing in various animal models, including in mouse, rat and NHP livers, with a single dose of systemically delivered LNPs. In addition, we have moved into late-stage human clinical trials using LNPs as the delivery mechanism. Based on interim data reported from the first-in-human study of NTLA-2001, we have also successfully demonstrated that LNP delivery of CRISPR/Cas9 is well-tolerated in humans.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plan to continue to further improve on our LNP system to optimize delivery of a variety of CRISPR/Cas9 therapeutic components, including templates for repair and insertion edits. In parallel, we are exploring additional delivery vehicles, including synthetic particles and viral vectors. We also are developing delivery strategies that we believe will allow us to target other tissues.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Ex Vivo </w:t>
      </w:r>
      <w:r>
        <w:rPr>
          <w:rFonts w:ascii="Times New Roman" w:hAnsi="Times New Roman"/>
          <w:i/>
          <w:color w:val="000000"/>
          <w:sz w:val="20"/>
        </w:rPr>
        <w:t>Delivery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Cellular therapies are based on the administration of engineered human cells that are modified to provide or restore necessary functions in the cells of patients, or to target and eliminate cells with harmful attributes, such as cancer cells. The cells to be modified </w:t>
      </w:r>
      <w:r>
        <w:rPr>
          <w:rFonts w:ascii="Times New Roman" w:hAnsi="Times New Roman"/>
          <w:i/>
          <w:color w:val="000000"/>
          <w:sz w:val="20"/>
        </w:rPr>
        <w:t>ex vivo</w:t>
      </w:r>
      <w:r>
        <w:rPr>
          <w:rFonts w:ascii="Times New Roman" w:hAnsi="Times New Roman"/>
          <w:color w:val="000000"/>
          <w:sz w:val="20"/>
        </w:rPr>
        <w:t xml:space="preserve"> can come from the individual patient (autologous source) or from another individual (allogeneic source). The CRISPR/Cas9 system can be used to modify cells outside the body using clinically proven delivery methods, such as electroporation. We are exploring these standard methods in parallel with our own newly-developed proprietary LNP-based delivery methods, which may provide advantages such as increased delivery efficiency and cell viability.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Ex Vivo </w:t>
      </w:r>
      <w:r>
        <w:rPr>
          <w:rFonts w:ascii="Times New Roman" w:hAnsi="Times New Roman"/>
          <w:i/>
          <w:color w:val="000000"/>
          <w:sz w:val="20"/>
        </w:rPr>
        <w:t>Allogeneic Platform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developed a proprietary allogeneic cell engineering platform to overcome one of the key challenges to current allogeneic approaches employed by others, which is host rejection of the adoptive cell therapy. In preclinical studies, our allogeneic technology demonstrated the ability to create T cells with high anti-tumor activity capable of avoiding host T and NK cells, and thereby persisting to maintain durable responses. Our proprietary approach leverages a novel combination of sequential edits, including knockout of HLA Class II and HLA-A while retaining HLA-B and HLA-C proteins. With our approach, we can pursue a simplified HLA matching strategy between healthy donor T cells and recipient patients, allowing for the development of an “off-the-shelf” therapy that addresses the majority of the patient population with only a small set of donors. Our allogeneic platform is being deployed for investigational TCR-T and CAR-T cell therapies.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Collaborations and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accelerate the development and commercialization of CRISPR/Cas9-based products in multiple therapeutic areas, we have formed, and intend to seek other opportunities to form, strategic alliances with collaborators who can augment our leadership in CRISPR/Cas9 therapeutic development.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Regeneron Pharmaceuticals, Inc. (“Regeneron”)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2016, we entered into a license and collaboration agreement with Regeneron (as amended from time to time, the “2016 Regeneron Agreement”). The 2016 Regeneron Agreement has two principal components: (i) a product development component under which the parties will research, develop and commercialize CRISPR/Cas-based therapeutic products primarily focused on genome editing in the liver, and (ii) a technology collaboration component, pursuant to which we and Regeneron will engage in research-related activities aimed at discovering and developing novel technologies and improvements to CRISPR/Cas technology to enhance our genome editing platform. Under this agreement, we also may access the Regeneron Genetics Center and proprietary mouse models to be provided by Regeneron for a limited number of our liver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amended the 2016 Regeneron Agreement in May 2020 to, among other things, (a) extend the technology collaboration, and related target selection rights, until April 2024, which Regeneron has since further extended to April 2026; (b) increase the number of exclusive </w:t>
      </w:r>
      <w:r>
        <w:rPr>
          <w:rFonts w:ascii="Times New Roman" w:hAnsi="Times New Roman"/>
          <w:i/>
          <w:color w:val="000000"/>
          <w:sz w:val="20"/>
        </w:rPr>
        <w:t>in vivo</w:t>
      </w:r>
      <w:r>
        <w:rPr>
          <w:rFonts w:ascii="Times New Roman" w:hAnsi="Times New Roman"/>
          <w:color w:val="000000"/>
          <w:sz w:val="20"/>
        </w:rPr>
        <w:t xml:space="preserve"> targets to which Regeneron may develop CRISPR/Cas-based therapeutic products to fifteen; and (c) grant Regeneron a non-exclusive license under certain of our IP to independently develop and commercialize up to 10 CRISPR/Cas-based </w:t>
      </w:r>
      <w:r>
        <w:rPr>
          <w:rFonts w:ascii="Times New Roman" w:hAnsi="Times New Roman"/>
          <w:i/>
          <w:color w:val="000000"/>
          <w:sz w:val="20"/>
        </w:rPr>
        <w:t xml:space="preserve">ex vivo </w:t>
      </w:r>
      <w:r>
        <w:rPr>
          <w:rFonts w:ascii="Times New Roman" w:hAnsi="Times New Roman"/>
          <w:color w:val="000000"/>
          <w:sz w:val="20"/>
        </w:rPr>
        <w:t xml:space="preserve">gene edited products made using certain defined cell types. In September 2023, we further amended the 2016 Regeneron Agreement (the “2023 Regeneron Amendment”) to expand the research and development collaboration to develop additional </w:t>
      </w:r>
      <w:r>
        <w:rPr>
          <w:rFonts w:ascii="Times New Roman" w:hAnsi="Times New Roman"/>
          <w:i/>
          <w:color w:val="000000"/>
          <w:sz w:val="20"/>
        </w:rPr>
        <w:t>in vivo</w:t>
      </w:r>
      <w:r>
        <w:rPr>
          <w:rFonts w:ascii="Times New Roman" w:hAnsi="Times New Roman"/>
          <w:color w:val="000000"/>
          <w:sz w:val="20"/>
        </w:rPr>
        <w:t xml:space="preserve"> CRISPR-based gene editing therapies focused on neurological and muscular diseases. The expanded research and development collaboration will leverage our proprietary Nme2 CRISPR/Cas9 genome editing systems adapted for viral vector delivery and designed to precisely modify a target gene and Regeneron’s proprietary antibody-targeted AAV vectors and delivery systems. Under the 2023 Regeneron Amendment, the companies will collaborate to research and develop products directed to two </w:t>
      </w:r>
      <w:r>
        <w:rPr>
          <w:rFonts w:ascii="Times New Roman" w:hAnsi="Times New Roman"/>
          <w:i/>
          <w:color w:val="000000"/>
          <w:sz w:val="20"/>
        </w:rPr>
        <w:t xml:space="preserve">in vivo </w:t>
      </w:r>
      <w:r>
        <w:rPr>
          <w:rFonts w:ascii="Times New Roman" w:hAnsi="Times New Roman"/>
          <w:color w:val="000000"/>
          <w:sz w:val="20"/>
        </w:rPr>
        <w:t>non-liver targets initially; each party will have the opportunity to lead potential development and commercialization for one product candidate, and the party that is not leading development and commercialization will have the option to enter into a co-development and co-commercialization agreement for the target.</w:t>
      </w:r>
    </w:p>
    <w:p>
      <w:pPr>
        <w:pStyle w:val="TextBody"/>
        <w:bidi w:val="0"/>
        <w:spacing w:before="240" w:after="283"/>
        <w:jc w:val="both"/>
        <w:rPr>
          <w:rFonts w:ascii="Times New Roman" w:hAnsi="Times New Roman"/>
          <w:sz w:val="20"/>
        </w:rPr>
      </w:pPr>
      <w:r>
        <w:rPr>
          <w:rFonts w:ascii="Times New Roman" w:hAnsi="Times New Roman"/>
          <w:color w:val="000000"/>
          <w:sz w:val="20"/>
        </w:rPr>
        <w:t>We also have entered into three co-development and co-funding agreements with Regeneron, specifically the ATTR Co/Co and co-development and co-funding agreements for the treatment of hemophilia A and hemophilia B (the “Hemophilia Co/Co”) agreements. Our collaboration with Regeneron under the ATTR Co/Co and Hemophilia Co/Co agreements is described above in the section entitled “</w:t>
      </w:r>
      <w:r>
        <w:rPr>
          <w:rFonts w:ascii="Times New Roman" w:hAnsi="Times New Roman"/>
          <w:b/>
          <w:color w:val="000000"/>
          <w:sz w:val="20"/>
        </w:rPr>
        <w:t>Our Pipeline – In Vivo</w:t>
      </w:r>
      <w:r>
        <w:rPr>
          <w:rFonts w:ascii="Times New Roman" w:hAnsi="Times New Roman"/>
          <w:color w:val="000000"/>
          <w:sz w:val="20"/>
        </w:rPr>
        <w:t xml:space="preserve"> </w:t>
      </w:r>
      <w:r>
        <w:rPr>
          <w:rFonts w:ascii="Times New Roman" w:hAnsi="Times New Roman"/>
          <w:b/>
          <w:i/>
          <w:color w:val="000000"/>
          <w:sz w:val="20"/>
        </w:rPr>
        <w:t>Research Programs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2023, Regeneron notified us that it was exercising its one-time option to extend the technology collaboration term for an additional two years (the “2024 Technology Collaboration Extension”), until April 2026, in exchange for a nonrefundable payment of $30.0 million due in April 2024. Refer to Note 9 to our consolidated financial statements of this Annual Report on Form 10-K for a detailed description of the terms related to the 2016 Regeneron Agreement and the 2020 Regeneron Amendment.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AvenCell Therapeutics, Inc. (“AvenCell”)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AvenCell was formed in July 2021 as a joint venture between us, Cellex Cell Professionals GmbH (“Cellex”) and funds managed by Blackstone Life Sciences Advisors L.L.C. (“BXLS”). As part of our contribution to AvenCell, we entered into a license and collaboration agreement (the “AvenCell LCA”), under which we are collaborating with AvenCell to develop allogeneic universal CAR-T cell therapies and which granted AvenCell a license to develop and commercialize genome edited universal CAR-T cell therapies (limited to its use with their switchable, universal CAR-T cell UniCAR and RevCAR platforms). In exchange for the license, we received a 33.33% equity interest in AvenCell at the time of the initial closing.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July 2021, we also entered into a co-development and co-funding agreement to co-develop and co-commercialize allogeneic universal CAR-T cell products for an immuno-oncology indication (the “AvenCell Co/Co”), which we terminated in November 2022 as a result of re-prioritizing our </w:t>
      </w:r>
      <w:r>
        <w:rPr>
          <w:rFonts w:ascii="Times New Roman" w:hAnsi="Times New Roman"/>
          <w:i/>
          <w:color w:val="000000"/>
          <w:sz w:val="20"/>
        </w:rPr>
        <w:t xml:space="preserve">ex vivo </w:t>
      </w:r>
      <w:r>
        <w:rPr>
          <w:rFonts w:ascii="Times New Roman" w:hAnsi="Times New Roman"/>
          <w:color w:val="000000"/>
          <w:sz w:val="20"/>
        </w:rPr>
        <w:t xml:space="preserve">programs. Our obligations under the terminated agreement were completed in the second quarter of 2023. We have one option to enter into an additional co-development and co-funding agreement for a payment of $30.0 million to AvenCell.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Refer to Notes 9 and 10 to our consolidated financial statements of this Annual Report on Form 10-K for additional information related to the terms of the agreements between us and AvenCell.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SparingVision SAS (“SparingVision”)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October 2021, we entered into a license and collaboration agreement with SparingVision, a genomic medicine company developing vision saving treatments for ocular diseases, to develop novel genomic medicines utilizing CRISPR/Cas9 technology for the treatment of ocular diseases. We granted SparingVision exclusive rights to our proprietary </w:t>
      </w:r>
      <w:r>
        <w:rPr>
          <w:rFonts w:ascii="Times New Roman" w:hAnsi="Times New Roman"/>
          <w:i/>
          <w:color w:val="000000"/>
          <w:sz w:val="20"/>
        </w:rPr>
        <w:t>in vivo</w:t>
      </w:r>
      <w:r>
        <w:rPr>
          <w:rFonts w:ascii="Times New Roman" w:hAnsi="Times New Roman"/>
          <w:color w:val="000000"/>
          <w:sz w:val="20"/>
        </w:rPr>
        <w:t xml:space="preserve"> CRISPR/Cas9-based genome editing technology for up to three ocular targets addressing diseases with significant unmet medical need. In addition, the parties are collaborating to research and develop novel self-inactivating AAV vectors and LNP-based product candidates to address delivery of CRISPR/Cas9 genome editing reagents to the retina. SparingVision will lead and fund the preclinical and clinical development for the genome editing product candidates pursued under the collaboration. We will also be eligible to receive certain research, development and commercial milestone cash payments (up to approximately $200.0 million per product) as well as royalties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future sales of products arising from the collaboration. We will have an option to obtain exclusive U.S. commercialization rights for product candidates arising from two of three collaboration targets.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Refer to Notes 9 and 10 to our consolidated financial statements of this Annual Report on Form 10-K for additional information related to the terms of the agreement between us and SparingVision.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Kyverna Therapeutics, Inc. (“Kyverna”)</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2021, we entered into a licensing and collaboration agreement with Kyverna, a cell therapy company engineering a new class of therapies for autoimmune and inflammatory diseases, for the development of an allogeneic CD19 CAR-T cell therapy for the treatment of a variety of B cell-mediated autoimmune diseases. We granted Kyverna rights to our proprietary </w:t>
      </w:r>
      <w:r>
        <w:rPr>
          <w:rFonts w:ascii="Times New Roman" w:hAnsi="Times New Roman"/>
          <w:i/>
          <w:color w:val="000000"/>
          <w:sz w:val="20"/>
        </w:rPr>
        <w:t xml:space="preserve">ex vivo </w:t>
      </w:r>
      <w:r>
        <w:rPr>
          <w:rFonts w:ascii="Times New Roman" w:hAnsi="Times New Roman"/>
          <w:color w:val="000000"/>
          <w:sz w:val="20"/>
        </w:rPr>
        <w:t>CRISPR/Cas9-based allogeneic platform for the development of KYV-201, an allogeneic CD19 CAR-T cell investigational candidate for the treatment of select autoimmune diseases. Kyverna will lead and fund preclinical and clinical development for KYV-201 and we will be eligible to receive certain development and commercial milestone payments, as well as low-to-mid-single-digit royalties on potential future sales. We may also exercise an option to lead U.S. commercialization for KYV-201 under a co-development and co-commercialization agreement. If we choose to co-develop and co-commercialize KYV-201, we will pay an opt-in fee of $5.0 million and share in 50% of development costs and future net profit and/or loss arising from commercializing KYV-201 in the U.S. Kyverna would retain all rights outside of the U.S., and we would receive low-to-mid-single-digit royalties on net sales generated outside of the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Refer to Notes 9 and 10 to our consolidated financial statements of this Annual Report on Form 10-K for additional information related to the terms of the agreement between us and Kyverna.</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ONK Therapeutics, Ltd (“ONK”)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February 2022, we announced a license, collaboration and option agreement with ONK for the development of engineered NK cell therapies to cure patients with cancer. The agreement grants ONK a non-exclusive license to our proprietary </w:t>
      </w:r>
      <w:r>
        <w:rPr>
          <w:rFonts w:ascii="Times New Roman" w:hAnsi="Times New Roman"/>
          <w:i/>
          <w:color w:val="000000"/>
          <w:sz w:val="20"/>
        </w:rPr>
        <w:t>ex vivo</w:t>
      </w:r>
      <w:r>
        <w:rPr>
          <w:rFonts w:ascii="Times New Roman" w:hAnsi="Times New Roman"/>
          <w:color w:val="000000"/>
          <w:sz w:val="20"/>
        </w:rPr>
        <w:t xml:space="preserve"> CRISPR/Cas9-based genome editing platform and our LNP-based delivery technologies for development of up to five allogeneic NK cell therapies. ONK will be responsible for preclinical and clinical development for the engineered NK cell therapies enabled by the agreement. We will be eligible to receive up to $184.0 million per product in development and commercial milestone payments, as well as up to mid-single-digit royalties on potential future sales. In addition, the agreement grants us options to co-develop and co-commercialize up to two products worldwide with rights to lead commercialization in the U.S. Refer to Notes 9 and 10 to our consolidated financial statements of this Annual Report on Form 10-K for additional information related to the terms of the agreement between us and ONK.</w:t>
      </w:r>
    </w:p>
    <w:p>
      <w:pPr>
        <w:pStyle w:val="TextBody"/>
        <w:bidi w:val="0"/>
        <w:spacing w:before="240" w:after="283"/>
        <w:jc w:val="both"/>
        <w:rPr>
          <w:rFonts w:ascii="Times New Roman" w:hAnsi="Times New Roman"/>
          <w:sz w:val="20"/>
        </w:rPr>
      </w:pPr>
      <w:r>
        <w:rPr>
          <w:rFonts w:ascii="Times New Roman" w:hAnsi="Times New Roman"/>
          <w:b/>
          <w:i/>
          <w:color w:val="000000"/>
          <w:sz w:val="20"/>
        </w:rPr>
        <w:t>Rewrite Therapeutics Inc. (“Rewrite”)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2, 2022, we entered into an Agreement and Plan of Merger with, </w:t>
      </w:r>
      <w:r>
        <w:rPr>
          <w:rFonts w:ascii="Times New Roman" w:hAnsi="Times New Roman"/>
          <w:i/>
          <w:color w:val="000000"/>
          <w:sz w:val="20"/>
        </w:rPr>
        <w:t>inter alia</w:t>
      </w:r>
      <w:r>
        <w:rPr>
          <w:rFonts w:ascii="Times New Roman" w:hAnsi="Times New Roman"/>
          <w:color w:val="000000"/>
          <w:sz w:val="20"/>
        </w:rPr>
        <w:t>, Rewrite Therapeutics, Inc. (the “Rewrite Merger Agreement”). Under the Rewrite Merger Agreement, we agreed to pay Rewrite’s former stockholders and option holders (the “Rewrite Holders”) (a) upfront consideration in an aggregate amount of approximately $45.0 million payable in cash, excluding customary purchase price adjustments, and (b) up to an additional $155.0 million in milestone payments, including $55.0 million upon the achievement of certain pre-specified research milestones and $100.0 million upon achievement of a certain regulatory approval milestone, payable through a mixture of $130.0 million in cash and $25.0 million in shares of common stock. In September 2022, Rewrite merged into Intellia, with Intellia as the surviving entity. In January 2023, a $25.0 million research milestone was achieved and, in February 2023, we paid the Rewrite Holders a mixture of cash and 567,045 shares of common stock in order to fulfill this obligation.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ReCode Therapeutics, Inc. (“ReCode”)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15, 2024, we announced a strategic collaboration with ReCode Therapeutics, Inc. (“ReCode”), a clinical-stage genetic medicines company, to develop novel genomic medicines for the treatment of cystic fibrosis (“CF”). CF is a genetic disease caused by mutations in the </w:t>
      </w:r>
      <w:r>
        <w:rPr>
          <w:rFonts w:ascii="Times New Roman" w:hAnsi="Times New Roman"/>
          <w:i/>
          <w:color w:val="000000"/>
          <w:sz w:val="20"/>
        </w:rPr>
        <w:t>CFTR</w:t>
      </w:r>
      <w:r>
        <w:rPr>
          <w:rFonts w:ascii="Times New Roman" w:hAnsi="Times New Roman"/>
          <w:color w:val="000000"/>
          <w:sz w:val="20"/>
        </w:rPr>
        <w:t xml:space="preserve"> gene, leading to the accumulation of thick mucus in the lungs,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digestive systems and other organs. CF can result in life-threatening infections, respiratory failure and other serious complications.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Potential Future 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view strategic partnerships as important drivers for helping accelerate our goal of rapidly treating patients. The potential application of CRISPR/Cas9 is extremely broad, and we plan to continue to identify partners who can contribute meaningful resources and insights to our programs and allow us to more rapidly bring scientific innovation to a broader patient population.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we are well positioned in terms of our IP because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built, and intend to expand, a broad worldwide portfolio of IP, including patents and patent applications, in areas relevant to the development and commercialization of human therapeutic products using CRISPR/Cas9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protect our IP by maintaining trade secrets relating to our proprietary technology innovations and know-how;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intend to take additional steps, where appropriate, to further protect our IP rights, including, for example, through the use of copyright protection, trademark and regulatory protections available via orphan drug designations, data exclusivity, market exclusivity and patent term extensions.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licensed patent portfolio encompasses foundational filings on the use of CRISPR/Cas9 systems for genome editing, improvement modifications of these CRISPR systems, including base editor and DNA writing technologies, LNP technologies, TCRs for specific targets, and cell expansion technology relevant to stem cell-based therapies. We access these patent estates from licensors, including Caribou Biosciences, Inc. (“Caribou”) and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our in-licensed IP, our IP portfolio includes over 70 patent families filed since 2015 covering solely or jointly owned technologies that we have developed independently or through our collaboration with Regeneron. The patent families claim inventions relating to CRISPR/Cas9 improvements, methods for delivering CRISPR/Cas9 complexes, methods of treating diseases using CRISPR/Cas9 genome editing, and methods for analyzing editing events, among others. Patents resulting from our internal portfolio, if issued, would expire no earlier than 2036.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actively apply for, maintain, and plan to defend and enforce, as needed, our internally developed and externally licensed patent rights. Furthermore, we continue to search for and evaluate opportunities to in-license IP relevant to our therapeutic programs and platforms and to develop and acquire new IP in collaboration with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Caribou Biosciences In-Licensed Intellectual Property (“Caribou”)</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2014, we entered into a license agreement with Caribou (the “Caribou License”), as subsequently amended and supplemented, for an exclusive, worldwide license for human therapeutic, prophylactic, and palliative uses, except for anti-fungal and anti-microbial uses, defined in the license agreement as our field of use, of any CRISPR/Cas9-related patents and applications owned, controlled or licensed by Caribou as well as companion diagnostics to our product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licensed Caribou patent portfolio includes several U.S. and foreign patents and patent applications owned or licensed by Caribou, including over 50 patent applications in the U.S. and internationally, related to the CRISPR/Cas platform and an exclusive sublicense in our field of use to the Regents of the University of California (“UC”) and University of Vienna’s (“Vienna”) rights in U.S. and foreign patents and patent applications covering the CRISPR/Cas9 technology, which they co-own with Dr. Emmanuelle Charpentier (collectively, the “UC/Vienna/Charpentier IP”). In July 2015, we exercised our option to include in the licensed Caribou patent portfolio the U.S. and foreign patent and patent applications owned or controlled by Pioneer Hi-Bred International (“Pioneer”) and its affiliates. We have the right to grant sublicenses to the licensed Caribou patent portfolio to third parties in our field of use. Caribou retains the right to practice the licensed IP in all other fields, including for its own specific therapeutic product candidates outside our field of use. The UC/Vienna/Charpentier IP and Pioneer IP, and our rights to the same, are further described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We have agreed to pay 30.0% of Caribou’s patent prosecution, filing and maintenance costs for the IP included in the license agreement, which has amounted to a total of $9.1</w:t>
      </w:r>
      <w:r>
        <w:rPr>
          <w:rFonts w:ascii="Times New Roman" w:hAnsi="Times New Roman"/>
          <w:color w:val="FF0000"/>
          <w:sz w:val="20"/>
        </w:rPr>
        <w:t xml:space="preserve"> </w:t>
      </w:r>
      <w:r>
        <w:rPr>
          <w:rFonts w:ascii="Times New Roman" w:hAnsi="Times New Roman"/>
          <w:color w:val="000000"/>
          <w:sz w:val="20"/>
        </w:rPr>
        <w:t>million incurred through December 31, 2023. Any patents that grant or have granted from these applications will expire in or after 2034, assuming payment of necessary maintenance fees. We also granted Caribou an exclusive, royalty-free, worldwide license, with the right to sublicense, to any CRISPR/Cas9 patents, patent applications and know-how in Caribou’s retained fields of use owned or developed by us between July 16, 2014 and January 30, 2018. Caribou, which is obligated to pay a portion of our patent filing, prosecution and maintenance costs for any such licensed IP, also has an option to sublicense any CRISPR/Cas9 IP in-licensed by us for uses and activities in its retained field of use.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Caribou License terminates on the expiration of the last-to-expire patent right that is licensed to either party. We must use commercially reasonable and diligent efforts to research, develop, manufacture and commercialize at least one product covered by the licensed IP. Either party may terminate the agreement in the event of the other party’s uncured material breach, bankruptcy or insolvency-related events, or breach of its obligations with respect to the included in-licenses.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2021, we executed a Leaseback Agreement (“Leaseback”) with Caribou, concluding an arbitration between us and Caribou in which an arbitration panel found that Caribou had violated the terms of the Caribou License. The arbitration panel required us to grant Caribou an equitable “leaseback” to use certain IP exclusively licensed to us in Caribou’s ongoing CB-010 program.</w:t>
      </w:r>
    </w:p>
    <w:p>
      <w:pPr>
        <w:pStyle w:val="TextBody"/>
        <w:bidi w:val="0"/>
        <w:spacing w:before="240" w:after="283"/>
        <w:jc w:val="both"/>
        <w:rPr>
          <w:rFonts w:ascii="Times New Roman" w:hAnsi="Times New Roman"/>
          <w:sz w:val="20"/>
        </w:rPr>
      </w:pPr>
      <w:r>
        <w:rPr>
          <w:rFonts w:ascii="Times New Roman" w:hAnsi="Times New Roman"/>
          <w:b/>
          <w:i/>
          <w:color w:val="000000"/>
          <w:sz w:val="20"/>
        </w:rPr>
        <w:t>The Regents of the University of California and the University of Vienna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UC/Vienna/Charpentier IP covers methods of use and compositions relating to engineered CRISPR/Cas9 systems for, among other things, cleaving or editing DNA and altering gene product expression in various organisms, including humans. The earliest claimed priority date for the patents in the UC/Vienna/Charpentier IP is May 25, 2012. As of December 31, 2023, this family includes over 50 issued patents in the U.S. and over 30 granted patents outside the U.S., including for example the U.K., Australia, China, Japan, Israel, Mexico and the approximately 40 countries that are members of the European Patent Convention. Applications continue to be prosecuted in the United States Patent and Trademark Office (“USPTO”) and other patent agencies across the world. Patents issued from this family will expire in or after 2033, if successfully maintained.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2013, Caribou entered into an exclusive, worldwide license in all fields, with the right to sublicense, for this patent family with UC/Vienna solely under UC/Vienna ownership rights. Caribou’s license remains in effect for the life of the last-to-expire patent or last-to-be-abandoned patent application licensed, whichever is later. Through our license agreement with Caribou, we have an exclusive sublicense to UC/Vienna’s interest in this foundational CRISPR/Cas9 patent family for use in human therapeutics, except for anti-fungal and anti-microbial uses as defined in the license agreement as our field of use. For therapeutic products covered by this license and their companion diagnostics, we will owe mid-single-digit royalties on net sales. We may also be subject to additional milestone payments in the future. Caribou has the right to terminate its agreement with UC/Vienna at any time or the agreement may be terminated by UC/Vienna due to an uncured material breach. We cannot guarantee that Caribou will maintain the UC/Vienna license for its full term. Should the license between Caribou and UC/Vienna be terminated for any reason, any compliant Caribou sublicenses as of the termination date will remain in effect and will be assigned to UC/Vienna in place of Caribou. Specifically, if we are in compliance with our obligations under our sublicense and Caribou and UC/Vienna terminate their agreement, UC/Vienna would replace Caribou as our licensor.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25, 2019, the USPTO’s Patent Trial and Appeal Board (the “PTAB”) declared another interference between the UC/Vienna/Charpentier and certain patents issued to the Broad Institute, Massachusetts Institute of Technology, and the President and Fellows of Harvard College (collectively, the “Broad Institute patent family” or the “Broad”), which claim aspects of CRISPR/Cas9 systems and methods to edit genes in eukaryotic cells, including human cells. An interference is an adversarial proceeding conducted by the PTAB to determine who was the first to invent a particular invention claimed in U.S. patents and patent applications owned by different parties and in this situation, to determine which research group first invented the use of the CRISPR/Cas9 technology in eukaryotic cells and, therefore, is entitled to the patents covering the invention. On August 26, 2019, the PTAB redeclared the interference to include additional UC/Vienna/Charpentier patent applications covering the invention that had also been found allowable by the USPTO. As of December 31, 2023, the interference involved 14 allowable patent applications from the UC/Vienna/Charpentier eukaryotic patent family and 13 patents and one patent application from the Broad Institute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patent family. The PTAB held a hearing in this interference on February 4, 2022. On February 28, 2022, the PTAB issued a Decision of Priority and Judgment in the patent interference finding that the Broad patents and application have priority over the UC/Vienna/Charpentier involved applications with respect to the subject matter of the interference. On March 30, 2022, UC/Vienna/Charpentier filed a notice of appeal in the Broad Interference, and the Broad Institute has cross-appealed.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PTAB has instituted and completed the motions phase in interferences between the same 14 allowable patent applications in the UC/Vienna/Charpentier portfolio, and certain patent rights owned by ToolGen, Inc. (“ToolGen”), and certain patent rights owned by Sigma-Aldrich Co. LLC, a Merck KGaA subsidiary (“Sigma-Aldrich”). In both interferences, ToolGen and Sigma-Aldrich, respectively, purport that their patent rights cover the use of CRISPR/Cas9 for gene editing in eukaryotic cells. Both interferences are stayed pending a decision from the Court of Appeals for the Federal Circuit in the Broad Interference. If either the Broad, ToolGen or Sigma-Aldrich were to succeed in their respective interference, the prevailing party or parties could seek to assert its issued patents against us based on our CRISPR/Cas9-based activities, including product commercialization. Defense of these claims, regardless of their merit, would involve substantial litigation expense, would be a substantial diversion of management and other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delay launch or redesign our infringing products, which may not be feasible or require substantial time and monetary expenditure. In that event, we may be unable to further develop and commercialize one or more of our product candidates, which could harm our business significantly.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Pioneer Hi-Bred International (DuPont Company)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Pioneer, including the DuPont Company, have licensed to Caribou on a worldwide basis, various patent families relating to CRISPR/Cas systems, components and methods of use generally and CRISPR/Cas9 specifically in certain fields, which include Intellia’s field of use under our license agreement with Caribou. In July 2015, we exercised our option under the license agreement with Caribou to sublicense these Pioneer patent families in our field of use. The license from Pioneer to Caribou will expire upon the expiration, abandonment or invalidation of the last patent or patent application licensed from Pioneer to Caribou.</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licensed Pioneer portfolio includes a family of applications filed by Vilnius University that discloses the components of a CRISPR/Cas9 system required for gene editing in non-bacterial organisms. The USPTO has issued patents to Vilnius University with claims covering the </w:t>
      </w:r>
      <w:r>
        <w:rPr>
          <w:rFonts w:ascii="Times New Roman" w:hAnsi="Times New Roman"/>
          <w:i/>
          <w:color w:val="000000"/>
          <w:sz w:val="20"/>
        </w:rPr>
        <w:t>in vitro</w:t>
      </w:r>
      <w:r>
        <w:rPr>
          <w:rFonts w:ascii="Times New Roman" w:hAnsi="Times New Roman"/>
          <w:color w:val="000000"/>
          <w:sz w:val="20"/>
        </w:rPr>
        <w:t xml:space="preserve"> assembly and use of a recombinant CRISPR/Cas9 complex to modify DNA. Patents obtained from this patent family will expire in or after 2033, assuming payment of necessary maintenance fees. We cannot ensure that these additional applications in this family will lead to issued claims that cover our products or activities.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Invention Management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15, 2016, we entered into a Consent to Assignments, Licensing and Common Ownership and Invention Management Agreement (the “Invention Management Agreement”), with UC, Vienna, Dr. Charpentier, Caribou, CRISPR Therapeutics AG, ERS Genomics Ltd. and TRACR Hematology Ltd. Under the Invention Management Agreement, Dr. Charpentier retroactively consented to UC/Vienna’s CRISPR/Cas9 license to Caribou as well as Caribou’s sublicensing to Intellia certain of its rights to the UC/Vienna/Charpentier CRISPR/Cas9 IP, subject to the restrictions of our license from Caribou. Under the agreement, the parties commit to maintain and coordinate the prosecution, defense and enforcement of the CRISPR/Cas9 foundational patent portfolio worldwide, and each of the co-owners of the IP grants cross-consents to all existing and future licenses and sublicenses based on the rights of another co-owner. The Invention Management Agreement also includes retroactive approval by certain parties of certain prior assignments of interests in patent rights to other parties, and provides for, among other things, (i) good faith cooperation among the parties regarding patent maintenance, defense and prosecution, (ii) cost-sharing arrangements, and (iii) notice of and coordination in the event of third party infringement of the subject patents. Unless earlier terminated by the parties, the Invention Management Agreement will continue in effect until the later of the last expiration date of the UC/Vienna/Charpentier patents underlying the CRISPR/Cas9 technology, or the date on which the last underlying patent application is abandoned.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entered into certain manufacturing and supply arrangements with third party suppliers to support production of our product candidates and their components. In addition, we have entered into a lease to build out a new manufacturing facility in Waltham, Massachusetts, which would support good manufacturing practice (“GMP”) manufacturing for preclinical through commercial supply. We plan to continue to rely on qualified third party organizations and our own capabilities to produce or process bulk compounds, formulated compounds, viral vectors or engineered cells for IND-supporting activities and to supply materials for clinical trials. We expect that clinical and commercial quantities of any </w:t>
      </w:r>
      <w:r>
        <w:rPr>
          <w:rFonts w:ascii="Times New Roman" w:hAnsi="Times New Roman"/>
          <w:i/>
          <w:color w:val="000000"/>
          <w:sz w:val="20"/>
        </w:rPr>
        <w:t xml:space="preserve">in vivo </w:t>
      </w:r>
      <w:r>
        <w:rPr>
          <w:rFonts w:ascii="Times New Roman" w:hAnsi="Times New Roman"/>
          <w:color w:val="000000"/>
          <w:sz w:val="20"/>
        </w:rPr>
        <w:t>product or engineered cells that we may seek to develop will be manufactured in GMP compliant facilities and by processes that comply with FDA and other regulatory agency requirements. At the appropriate time in the product development process of each product candidate, we will determine whether to use our internal manufacturing capabilities and facilities or continue to rely on third parties to manufacture commercial quantities of such products that we may successfully develop.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biotechnology and pharmaceutical industries are extremely competitive in the race to develop new products. While we believe we have significant competitive advantages with our industry-leading expertise in genome editing, clinical development expertise and dominant IP position, we currently face and will continue to face competition for our development programs from companies that use genome editing or gene therapy development platforms and from companies focused on more traditional therapeutic modalities such as small molecules and antibodies. The competition is likely to come from multiple sources, including large and specialty pharmaceutical and biotechnology companies, academic research institutions, government agencies and public and private research institutions. Many of these competitors may have access to greater capital and resources than us. For any products that we may ultimately commercialize, not only will we compete with any existing therapies and those therapies currently in development, but we will also have to compete with new therapies that may become available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to our NTLA-2001 program, we are aware of other companies that are currently commercializing or developing products and therapies used to treat ATTR amyloidosis, including Alnylam Pharmaceuticals, Inc., AstraZeneca Pharmaceuticals LP, BridgeBio Pharma Inc., Ionis Pharmaceuticals, Inc., Metagenomi Technologies, LLC, Novo Nordisk A/S and Pfizer,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to our NTLA-2002 program, we are aware of other companies that are currently commercializing or developing products used to treat HAE including ADARx Therapeutics, Inc., Astria Therapeutics Inc., BioCryst Pharmaceuticals Inc., BioMarin Pharmaceutical Inc., CSL Limited, Ionis Pharmaceuticals, Inc., KalVista Pharmaceuticals, Inc., Pharming Group N.V., Pharvaris N.V. and Takeda Pharmaceutical Company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in our efforts to provide other genetic therapies to patients can be grouped into at least three sets based on their product discovery platforms: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platform and product foci are on the development of therapies using CRISPR-based technologies. Genome editing companies focused on CRISPR-based technologies include: Beam Therapeutics Inc., Caribou Biosciences, Inc., CRISPR Therapeutics AG, Editas Medicine, Inc., Metagenomi Technologies, LLC, Prime Medicine, Inc., ToolGen, Inc. and Verve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also companies developing therapies using additional gene-editing technologies, which include Allogene Therapeutics, Inc., bluebird bio, Inc., Cellectis S.A., Homology Medicines, Inc., Poseida Therapeutics, Inc., Precision Biosciences, Inc., Prime Medicine, Inc. and Sangamo Therapeutics, Inc.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also aware of companies developing therapies in various areas related to our specific research and development programs. For </w:t>
      </w:r>
      <w:r>
        <w:rPr>
          <w:rFonts w:ascii="Times New Roman" w:hAnsi="Times New Roman"/>
          <w:i/>
          <w:color w:val="000000"/>
          <w:sz w:val="20"/>
        </w:rPr>
        <w:t>ex vivo</w:t>
      </w:r>
      <w:r>
        <w:rPr>
          <w:rFonts w:ascii="Times New Roman" w:hAnsi="Times New Roman"/>
          <w:color w:val="000000"/>
          <w:sz w:val="20"/>
        </w:rPr>
        <w:t xml:space="preserve">, these companies include Allogene Therapeutics, Inc., Cellectis S.A., CRISPR Therapeutics AG and Precision BioSciences, Inc. For </w:t>
      </w:r>
      <w:r>
        <w:rPr>
          <w:rFonts w:ascii="Times New Roman" w:hAnsi="Times New Roman"/>
          <w:i/>
          <w:color w:val="000000"/>
          <w:sz w:val="20"/>
        </w:rPr>
        <w:t>in vivo</w:t>
      </w:r>
      <w:r>
        <w:rPr>
          <w:rFonts w:ascii="Times New Roman" w:hAnsi="Times New Roman"/>
          <w:color w:val="000000"/>
          <w:sz w:val="20"/>
        </w:rPr>
        <w:t>, these companies include CRISPR Therapeutics AG, Editas Medicine, Inc., Excision Biotherapeutics, Inc., Locus Biosciences, Inc., Metagenomi Technologies, LLC, Precision Biosciences, Inc. and Verve Therapeutics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competitors will also include companies that are or will be developing other genome editing methods as well as small molecules, biologics, </w:t>
      </w:r>
      <w:r>
        <w:rPr>
          <w:rFonts w:ascii="Times New Roman" w:hAnsi="Times New Roman"/>
          <w:i/>
          <w:color w:val="000000"/>
          <w:sz w:val="20"/>
        </w:rPr>
        <w:t>in vivo</w:t>
      </w:r>
      <w:r>
        <w:rPr>
          <w:rFonts w:ascii="Times New Roman" w:hAnsi="Times New Roman"/>
          <w:color w:val="000000"/>
          <w:sz w:val="20"/>
        </w:rPr>
        <w:t xml:space="preserve"> gene therapies, engineered cell therapies and nucleic acid-based therapies for the same indications that we are targeting with our CRISPR/Cas9-based therapeutics.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Government Regulation and Product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biopharmaceutical company, we are subject to extensive legal and regulatory requirements. For example, we need approval from regulatory agencies for our clinical studies, development, manufacturing, distribution, exportation and importation, commercialization, marketing and reimbursement relating to our products and product candidates. Relevant regulatory authorities include, but are not limited to, the FDA, the EMA, the EC, EU Member State agencies, such as Germany’s Paul Ehrlich Institute (“PEI”), and other countries’ similar agencies, such as the MHRA, as well as health technology assessment bodies and public authorities responsible for market access and pricing, such as the U.K. National Institute of Health and Care Excellence (“NICE”).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expect our future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ex vivo</w:t>
      </w:r>
      <w:r>
        <w:rPr>
          <w:rFonts w:ascii="Times New Roman" w:hAnsi="Times New Roman"/>
          <w:color w:val="000000"/>
          <w:sz w:val="20"/>
        </w:rPr>
        <w:t xml:space="preserve"> product candidates to be regulated as biologics. Biological products are subject to regulation under the Food, Drug and Cosmetic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drug and biological products. As is the case for all investigational products, before clinical testing of biological products in the U.S. may begin, we must submit an IND application to the FDA, which reviews the clinical protocol and other information, and the IND application must become effective before clinical trials may begin. Prior to initiating clinical trials in foreign countries, CTAs or other equivalent applications, similar to IND applications, must be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Biologic products must be approved by the FDA before they may be legally marketed in the U.S. and by the appropriate foreign regulatory agencies before they may be legally marketed in foreign countries.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Within the FDA, the Center for Biologics Evaluation and Research (“CBER”) regulates biological products, including gene and cell therapies. CBER’s Office of Therapeutic Products (“OTP”) is responsible for oversight of gene therapy and related products, and the Cellular, Tissue and Gene Therapies Advisory Committee (“CTGTAC”) advises CBER on its reviews. Human gene therapy products are defined as all products that mediate their effects by transcription or translation of transferred genetic material or by specifically altering host (human) genetic sequences. Some examples of gene therapy products include nucleic acids, genetically modified microorganisms (e.g., viruses, bacteria, fungi), engineered site-specific nucleases used for human genome editing, and </w:t>
      </w:r>
      <w:r>
        <w:rPr>
          <w:rFonts w:ascii="Times New Roman" w:hAnsi="Times New Roman"/>
          <w:i/>
          <w:color w:val="000000"/>
          <w:sz w:val="20"/>
        </w:rPr>
        <w:t>ex vivo</w:t>
      </w:r>
      <w:r>
        <w:rPr>
          <w:rFonts w:ascii="Times New Roman" w:hAnsi="Times New Roman"/>
          <w:color w:val="000000"/>
          <w:sz w:val="20"/>
        </w:rPr>
        <w:t xml:space="preserve"> genetically modified human cells. FDA has published guidance documents related to, among other things, gene therapy products in general and their preclinical assessment, potency or other quality testing, and chemistry, manufacturing and control information in gene therapy IND applications, and long-term adverse event monitoring of clinical trial subjects; all of which are intended to facilitate industry’s development of these products. More recently and as part of the implementation of the 21st Century Cures Act, FDA has issued a number of guidances pertaining to regenerative medicine advanced therapies, which include cell therapy, therapeutic tissue engineering products, human cell and tissue products and combination products using any such therapies or products. Additionally, gene therapies, including genetically modified cells, that lead to a durable modification of cells or tissues may meet the definition of a regenerative medicine therapy. A number of guidances have been revised to reflect the growing knowledge and incorporation of newer technology, including certain considerations for genome editing. A small, but growing number of gene therapy products, including gene editing therapies, have been approved by regulatory agencies.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 Gene and Cell Therapy Products Development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approves biologics, including gene and cellular therapy products, through the Biologics License Application (“BLA”) process before they may be legally marketed in the U.S. This process generally involves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completion of extensive nonclinical, sometimes referred to as preclinical laboratory tests, and preclinical animal studies and formulation studies in accordance with applicable regulations, including good laboratory practice (“GLP”) and applicable requirements for the humane use of laboratory animals;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submission to the FDA of an IND application, which must become effective before human clinical trials may begin;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of adequate and well-controlled human clinical trials, according to the FDA’s regulations commonly referred to as good clinical practice (“GCP”) and any additional requirements for the protection of human research subjects and their health information, to establish the safety and efficacy of the proposed product for its intended use;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submission to the FDA of a BLA for marketing approval that includes substantial evidence of safety, efficacy, and purity and potency, from nonclinical and </w:t>
      </w:r>
      <w:r>
        <w:rPr>
          <w:rFonts w:ascii="Times New Roman" w:hAnsi="Times New Roman"/>
          <w:i/>
          <w:color w:val="000000"/>
          <w:sz w:val="20"/>
        </w:rPr>
        <w:t>in vitro</w:t>
      </w:r>
      <w:r>
        <w:rPr>
          <w:color w:val="000000"/>
        </w:rPr>
        <w:t xml:space="preserve"> </w:t>
      </w:r>
      <w:r>
        <w:rPr>
          <w:rFonts w:ascii="Times New Roman" w:hAnsi="Times New Roman"/>
          <w:color w:val="000000"/>
          <w:sz w:val="20"/>
        </w:rPr>
        <w:t>testing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satisfactory completion of an FDA inspection of the manufacturing facility or facilities where the product is produced to assess compliance with current good manufacturing practice (“cGMP”) to assure that the facilities, methods and controls are adequate to preserve the product’s identity, strength, quality and purity and, if applicable, the FDA’s current good tissue practice (“cGTP”) requirements for the use of human cellular and tissue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positive results from potential FDA audit of the nonclinical study and clinical trial sites that generated the data in support of the BLA;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 of the proposed product by an FDA advisory committee, where appropriate and if applicable;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 of user fees for FDA review of the BLA (unless a fee waiver applies, such as for product candidates designated as orphan drugs);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review and approval, or licensure, of the BLA.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testing any drug or biological product candidate, including gene and cellular therapy product candidates, in humans, the product candidate is evaluated through preclinical testing.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applicable federal regulations and requirements, including GLP.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application is submitted. The IND application automatically becomes effective 30 days after receipt by the FDA, unless the FDA places the clinical trial on a clinical hold within that 30-day time period. In such a case, the clinical trial sponsor and the FDA must resolve any outstanding concerns before the clinical trial can begin. The FDA may also impose clinical holds on a biological product candidate at any time before or during clinical trials due to, among other reasons, safety concerns or non-compliance with regulatory requirements. If the FDA imposes a clinical hold, trials may not proceed without FDA authorization and then only under authorized terms. Accordingly, we cannot be sure that submission of an IND application will result in the FDA allowing clinical trials to begin, or that, once begun, issues will not arise that result in the suspension or termination of such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 involve the administration of the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its amendments must be submitted to the FDA as part of the IND. Clinical trials must be conducted and monitored in accordance with the FDA’s regulations comprising the GCP requirements, including the requirement that all research subjects provide informed consent. Further, each clinical trial must be reviewed and approved by an independent institutional review board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42424"/>
          <w:sz w:val="20"/>
        </w:rPr>
      </w:pPr>
      <w:r>
        <w:rPr>
          <w:rFonts w:ascii="Times New Roman" w:hAnsi="Times New Roman"/>
          <w:color w:val="242424"/>
          <w:sz w:val="20"/>
        </w:rPr>
        <w:t>In addition to the submission of an IND to the FDA before initiation of a clinical trial in the U.S., certain human clinical trials involving recombinant or synthetic nucleic acid molecules are subject to oversight of institutional biosafety committees, (“IBCs”), as set forth in the National Institutes for Health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Human clinical trials are typically conducted in three sequential phases that may overlap or be combined: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1. The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2. The product candidate is evaluated in a limited patient population to identify possible adverse effects and safety risks, to preliminarily evaluate the efficacy of the product for specific targeted diseases and to determine dosage tolerance, optimal dosage and dosing schedule.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3. Clinical trials are undertaken to further evaluate dosage, clinical efficacy, potency (for BLA products), and safety in an expanded patient population at dispersed clinical trial sites. These clinical trials are intended to establish the overall risk/benefit ratio of the product, including as compared to current standard treatments, and provide an adequate basis for product approval and labeling.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Post-approval clinical trials, sometimes referred to as Phase 4 clinical trials, may be conducted after initial marketing approval. These clinical trials are used to gain additional evidence about the treatment of patients in the intended therapeutic indication, particularly for long-term safety follow-up. The FDA typically advises that sponsors observe subjects for potential gene therapy-related delayed adverse events for up to a 15-year period after administration, including a minimum of five years of annual examinations followed by ten years of annual queries, either in person or by questionnaire.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During all phases of clinical development, regulatory agencies require extensive monitoring and auditing of all clinical activities, clinical data, and clinical trial investigators. Annual progress reports detailing the status of the clinical trials must be submitted to the FDA. Written IND safety reports must be promptly submitted to the FDA and the investigators for serious and unexpected adverse events that are associated with the use of the product candidate, any findings from other trials, tests in laboratory animals or </w:t>
      </w:r>
      <w:r>
        <w:rPr>
          <w:rFonts w:ascii="Times New Roman" w:hAnsi="Times New Roman"/>
          <w:i/>
          <w:color w:val="000000"/>
          <w:sz w:val="20"/>
        </w:rPr>
        <w:t>in vitro</w:t>
      </w:r>
      <w:r>
        <w:rPr>
          <w:rFonts w:ascii="Times New Roman" w:hAnsi="Times New Roman"/>
          <w:color w:val="000000"/>
          <w:sz w:val="20"/>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also are requirements governing the reporting of ongoing clinical trials and completed clinical trial results to public registries. Sponsors of certain clinical trials of FDA-regulated products, including biologics such as gene and cellular therapy products, are required to register and disclose certain clinical trial information to NIH. Information related to the product, patient population, phase of investigation, study sites and investigators, and other aspects of the clinical trial is then made publicly available as part of the registration at www.clinicaltrials.gov. Sponsors also are obligated to disclose the results of their clinical trials after completion. Disclosure of the results of these trials can be delayed until the new product or new indication being studied has been approved, up to a maximum of two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Concurrent with clinical trials, companies usually complete additional animal trials and must also develop additional information about the physical characteristics of the product candidate, as well as finalize a process for manufacturing the product in commercial quantities in accordance with cGMP, and in certain cases, cGTP,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product to support a BLA. Additionally, appropriate packaging must be selected and tested, and stability studies must be conducted to demonstrate that the product candidate does not undergo unacceptable deterioration over its shelf life.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 Review and Approval Processes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approval of a BLA must be obtained before commercial marketing of the product. The BLA must include results of product development, laboratory and animal trials, human trials, information on the manufacture and composition of the product, proposed labeling and other relevant information. In addition, under the Pediatric Research Equity Act (“PREA”), a BLA or supplement to a BLA, for a product candidate with certain novel characteristics must contain data to assess the safety and effectiveness of the product candidate for the claimed indications in all relevant pediatric subpopulations and to support dosing and administration for each pediatric subpopulation for which the product is safe and effective. The Food and Drug Administration Safety and Innovation Act of 2012 (“FDASIA”)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exempt due to orphan drug designation. The initial PSP must include, among other things, an outline of the pediatric study or studies that the sponsor plans to conduct, including, to the extent practicable,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along with any other information specified in FDA regulations. The FDA and the sponsor must reach agreement on the PSP. A sponsor can submit amendments to an agreed-upon initial PSP at any time if changes to the pediatric plan need to be considered based on data collected from nonclinical studies, early phase clinical trials, or other clinical development programs. The FDA may grant deferrals for submission of data or full or partial waivers. Unless otherwise required by regulation, PREA does not apply to any biological product for an indication for which orphan drug designation has been granted. The testing and approval processes require substantial time and effort and there can be no assurance that the FDA will accept the BLA for filing and, even if filed, that any approval will be granted on a timely basis,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Prescription Drug User Fee Act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Within 60 days following submission of the application, the FDA reviews the BLA to determine if it is substantially complete before the agency accepts it for filing. The FDA may refuse to file any BLA that it deems incomplete or not properly reviewable at the time of submission, including for failure to pay required fees, and may request additional information. In this event, the application must be resubmitted with the additional information. The resubmitted application also is subject to review before the FDA accepts it for filing. Once the submission is accepted for filing, the FDA begins an in-depth substantive review of the BLA. The FDA reviews the application to determine, among other things, whether the proposed product is safe and effective (or, in the case of biologics, to ensure safety, purity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potency), and whether the product is being manufactured in accordance with cGMP, and in certain cases, cGTP, requirements to ensure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FDA review and approval process, the FDA also will determine whether a Risk Evaluation and Mitigation Strategy (“REMS”) is necessary to assure the safe use of the biological product candidate. If the FDA concludes a REMS is needed, the sponsor of the BLA must submit a proposed REMS; the FDA will not approve the application without a REMS, if required.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approving a BLA, the FDA will inspect the facilities at which the product is manufactured. The FDA will not approve the product unless it determines that the manufacturing processes and facilities are in compliance with cGMP and, if applicable, cGTP requirements are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 To assure cGMP, cGTP and GCP compliance, an applicant must incur significant expenditure of time, money and effort in the areas of training, record keeping, production, and quality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usually describes all of the specific deficiencies in the application identified by the FDA. Addressing the deficiencies identified may require significant development work, such as product reformulation or additional clinical trials. The complete response letter may include recommended actions that the applicant might take to place the application in a condition for approval. If a complete response letter is issued, the applicant may either resubmit the application, addressing all of the deficiencies identified in the letter, challenge the determination set forth in the letter by requesting a hearing or withdraw the application.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product receives regulatory approval, the approval may be significantly limited to specific diseases, dosages or patient subgroups or the indications for use may otherwise be limited, which could restrict the commercial value of the product. Further, the FDA may require that certain contraindications, warnings, precautions or adverse events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4 clinical trials, designed to further assess a product’s safety and effectiveness, and testing and surveillance programs to monitor the safety of approved products that have been commercialized.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of the performance goals agreed to by the FDA under the PDUFA VII (Fiscal Years 2023-2027) is to review 90% of BLAs in 10 months from the 60-day filing date, and 90% of priority BLAs in six months from the 60-day filing date, whereupon a review decision is to be made. The FDA does not always meet its PDUFA goal dates for standard and priority BLAs, and its review goals are subject to change with PDUFA reauthorization. The review process and the PDUFA goal date may be extended by three months if the FDA requests or the BLA sponsor otherwise provides additional information or clarification regarding information already provided in the submission, also known as a Major Amendment, within the last three months before the PDUFA goal date.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may grant orphan drug designation to biological products, including cellular and gene therapy products, intended to treat a rare disease or condition that affects fewer than 200,000 individuals in the U.S., or, if it affects more than 200,000 individuals in the U.S., when there is no reasonable expectation that the cost of developing and marketing the product for this type of disease or condition will be recovered from sales in the U.S. Orphan drug designation must be requested before submission of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orphan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which may permit off-label use for the orphan indication. Orphan product exclusivity also could block the approval of one of our products for seven years if a competitor obtains approval of the same drug or biological product as defined by the FDA for the same orphan indication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U.S. and the EU, as well as in other countries, there are a number of programs to expedite development, review and approval of products for serious or life-threatening disease or condition that address an unmet medical need in the relevant regulatory jurisdiction. In the U.S., these FDA programs include Fast Track Designation, priority review, accelerated approval, Breakthrough Therapy designation and Regenerative Medicine Advanced Therapies. Similar programs in the EU include accelerated assessment, conditional approval and the PRIME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FDA’s Fast Track program intends to expedite or facilitate the process for reviewing new drug and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including gene and cellular therapy products, may request that the FDA designate the product as a Fast Track product at any time during the product’s clinical development, but ideally not later than the pre-BLA meeting. The FDA may consider for review sections of the marketing application for a Fast Track product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U.S., any product is eligible for priority review if it treats a serious condition and, if approved, would provide a significant improvement in safety or effectiveness of the treatment, prevention, or diagnosis of that condition. The FDA will attempt to direct additional resources to the evaluation of an application for a new drug or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product subject to accelerated approval perform adequate and well-controlled, post-marketing confirmatory clinical trials to confirm the effect on irreversible morbidity or mortality or other clinical benefit. Under the Food and Drug Omnibus Reform Act of 2022 (“FDORA”), the FDA is now permitted to require, as appropriate, that post-approval confirmatory trials be underway prior to approval or within a specific time period after accelerated approval is granted. Failure to conduct required post-approval studies with due diligence, or to confirm a clinical benefit during post-marketing studies, will allow the FDA to withdraw the drug from the market and, under FDORA, the FDA has increased authority for expedited procedures to withdraw approval of a product granted accelerated approval. In addition, the FDA generally requires, unless otherwise informed by the agency, pre-approval of promotional materials as a condition for accelerated approval, which could adversely impact the timing of the commercial launch of the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FDA's Breakthrough Therapy designation program is intended to expedite the development and review of products that treat serious or life-threatening diseases or conditions. A breakthrough therapy is defined as a drug or biological product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All requests for Breakthrough Therapy designation will be reviewed within 60 days of receipt, and FDA will either grant or deny the request.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Orphan designation, Fast Track designation, priority review, accelerated approval and Breakthrough Therapy designation do not change the standards for approval but may expedite the development or approval process.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Regenerative Medicine Advanced Therapies (“RMAT”) Designation</w:t>
      </w:r>
    </w:p>
    <w:p>
      <w:pPr>
        <w:pStyle w:val="TextBody"/>
        <w:bidi w:val="0"/>
        <w:spacing w:before="120" w:after="283"/>
        <w:jc w:val="both"/>
        <w:rPr>
          <w:rFonts w:ascii="Times New Roman" w:hAnsi="Times New Roman"/>
          <w:sz w:val="20"/>
        </w:rPr>
      </w:pPr>
      <w:r>
        <w:rPr>
          <w:rFonts w:ascii="Times New Roman" w:hAnsi="Times New Roman"/>
          <w:color w:val="000000"/>
          <w:sz w:val="20"/>
        </w:rPr>
        <w:t>As part of the 21</w:t>
      </w:r>
      <w:r>
        <w:rPr>
          <w:rFonts w:ascii="Times New Roman" w:hAnsi="Times New Roman"/>
          <w:color w:val="000000"/>
          <w:sz w:val="13"/>
        </w:rPr>
        <w:t>st</w:t>
      </w:r>
      <w:r>
        <w:rPr>
          <w:rFonts w:ascii="Times New Roman" w:hAnsi="Times New Roman"/>
          <w:color w:val="000000"/>
          <w:sz w:val="20"/>
        </w:rPr>
        <w:t xml:space="preserve"> Century Cures Act, the FD&amp;C Act was amended to facilitate an efficient development program for, and expedite review of regenerative advanced therapies, which include cell and gene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and, for those granted accelerated approval, post-approval requirements may be fulfilled through the submission of clinical evidence from clinical studies, patient registries, or other sources of real-world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substantial compliance with applicable federal, state, and local statutes and regulations and, as applicable, their counterparts in other jurisdictions, requires the expenditure of substantial time and financial resources. Rigorous and extensive FDA regulation of biological products, including gene and cellular therapy products, continues after approval, particularly with respect to cGMP requirements. We will rely, and expect to continue to rely, on third parties for the production of clinical and commercial quantities of certain components of products that we may commercialize. Manufacturers of our products are required to comply with applicable requirements in the cGMP regulations, including quality control,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including gene and cellular therapy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would have to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and social media platforms. Discovery of previously unknown problems or the failure to comply with the applicable regulatory requirements may result in restrictions on the labeling or marketing of a product, imposition of a REMS or post-market study requirement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Biological product manufacturers and other entities involved in the manufacture and distribution of approved biological products, including gene and cellular therapy products, in the U.S. are required to register their establishments with the FDA and certain other federal and state agencies, and are subject to periodic unannounced inspections by the FDA and certain other federal and state agencies for compliance with cGMP, and in certain cases, cGTP, requirements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as well as potential civil and criminal liability.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Biosimilars and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Patient Protection and Affordable Care Act, as amended by the Health Care and Education Reconciliation Act of 2010 (collectively, the “Affordable Care Act” or “ACA”),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in the U.S.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Starting in 2015, the FDA commenced licensing biosimilars under the BPCIA, and there are currently numerous biosimilars approved in the U.S. and Europe. The FDA has issued a number of draft and final guidance documents outlining an approach to review and approval of biosimilars and interchangeable biological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BPCIA also contains various provisions regarding exclusivity for reference and interchangeable products and procedures for sharing and litigating patents covering the reference product. A reference biologic is granted 12 years of exclusivity from the time of first licensure of the reference product. The first biologic product submitted under the abbreviated approval pathway that is determined to be interchangeable with the reference product is eligible for a period of exclusivity against other biologics submitted under the abbreviated approval pathway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The BPCIA, however, is complex and only beginning to be interpreted and implemented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the FDA. In addition, proposed legislation has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biological product can also obtain pediatric market exclusivity in the U.S.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Additional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foregoing, state and federal laws regarding environmental protection and hazardous substances, including the Occupational Safety and Health Act, the Resource Conservancy and Recovery Act and the Toxic Substances Control Act, all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Healthcare and Privacy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FDA restrictions on marketing of biological products, other U.S. federal and state healthcare regulatory laws restrict business practices in the pharmaceutical industry, which include, but are not limited to, state and federal anti-kickback, false claims, data privacy and security, and physician payment transparency laws. The laws that may affect our ability to operate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individuals or entities from knowingly and willfully soliciting, receiving, offering or paying any remuneration (including any kickback, bribe, or certain rebates), directly or indirectly, overtly or covertly, in cash or in kind, to induce, or in return for, either the referral of an individual, or the purchase, lease, order, arrangement for or recommendation of the purchase, lease, order, arrangement for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ACA provides that a claim including items or services resulting from a violation of the federal Anti-Kickback Statute constitutes a false or fraudulent claim for purposes of the federal False Claims Act (“FCA”). Violators are subject to civil and criminal fines and penalties, as well as imprisonment and exclusion from government healthcare programs;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federal civil and criminal false claims laws, including, without limitation, the federal FCA,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or knowingly concealing or knowingly and improperly avoiding or decreasing an obligation to pay money to the federal government. A claim includes “any request or demand” for money or property presented to the U.S. federal government. Manufacturers can be held liable under the FCA even when they do not submit claims directly to government payors if they are deemed to “cause” the submission of false or fraudulent claims by, for example, promoting a product off-label. The FCA also permits a private individual acting as a “whistleblower” to bring civil whistleblower or </w:t>
      </w:r>
      <w:r>
        <w:rPr>
          <w:rFonts w:ascii="Times New Roman" w:hAnsi="Times New Roman"/>
          <w:i/>
          <w:color w:val="000000"/>
          <w:sz w:val="20"/>
        </w:rPr>
        <w:t>qui tam</w:t>
      </w:r>
      <w:r>
        <w:rPr>
          <w:color w:val="000000"/>
        </w:rPr>
        <w:t xml:space="preserve"> </w:t>
      </w:r>
      <w:r>
        <w:rPr>
          <w:rFonts w:ascii="Times New Roman" w:hAnsi="Times New Roman"/>
          <w:color w:val="000000"/>
          <w:sz w:val="20"/>
        </w:rPr>
        <w:t>actions against individuals (including biopharmaceutical manufacturers and sellers) on behalf of the federal government alleging violations of the FCA and to share in any monetary recovery. These laws impose criminal and civil penalties on violators;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(“HIPAA”), and its implementing regulations, which impose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violations can lead to civil and criminal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respective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and non-U.S. laws govern the privacy and security of health and other personal information in certain circumstances, many of which differ from each other in significant ways and may not have the same requirements, thus complicating efforts to comply with their respective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federal physician payment transparency requirements, sometimes referred to as the “Physician Payments Sunshine Act,” created under the ACA, and their implementing regulations, which require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payments or other “transfers of value” made to physicians (defined to include doctors, dentists, optometrists, podiatrists and chiropractors), certain other licensed healthcare practitioners, and teaching hospitals, as well as ownership and investment interests held by physicians, other healthcare providers, and their immediate family members. Failure to submit required information may result in civil monetary penalties for all payments, transfers of value or ownership or investment interests that are not timely, accurately, and completely reported in an annual submission;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Foreign Corrupt Practices Act (“FCPA”) and other laws which prohibit improper payments or offers of payments to foreign governments and their officials and political parties by U.S. persons and issuers as defined by the statute for the purpose of obtaining or retaining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FD&amp;C Act, which prohibits, among other things, the commercialization of adulterated or misbranded drugs and medical devices and the PHS Act, which prohibits, among other things, the commercialization of biological products unless a biologics license is in effect;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 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circumstances, many of which differ from each other in significant ways and often are not preempted by HIPAA, thus complicating compliance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breadth of these laws and the limited statutory exceptions and safe harbors available, it is possible that some of our business activities could be subject to challenge under one or more of such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we decide to conduct clinical trials or enroll subjects in our future clinical trials, we may be subject to additional privacy restrictions. In the EU, the General Data Protection Regulation (“GDPR”) regulates the collection, use, storage, disclosure, transfer or other processing of personal data, including personal health data. The GDPR covers any business, regardless of its location, that provides goods or services to residents in the EU and, thus, could incorporate our activities in EU Member States. The GDPR imposes strict requirements on controllers and processors of personal data, including special protections for “sensitive information,” which includes health and genetic information of individuals residing in the EU,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 party processors. The GDPR grants individuals the opportunity to object to the processing of their personal data, allows them to request deletion of personal data in certain circumstances, and provides the individual with an express right to seek legal remedies in the event the individual believes his or her rights have been violated. Further, the GDPR imposes strict rules on the transfer of personal data out of the EU to regions that have not been deemed to offer “adequate” privacy protections. Failure to comply with the requirements of the GDPR and the related national data protection laws of the EU Member States, which may deviate slightly from the GDPR, may result in warning letters, mandatory audits and financial penalties, including fines of up to 4% of annual global revenues, or €20,000,000, whichever is greater. As a result of the GDPR, we may be required to put in place additional mechanisms ensuring compliance with the new data protection rules, including as implemented by individual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to the U.K.’s exit from the EU on January 31, 2020, the U.K. incorporated the GDPR (as it existed on December 31, 2020 but subject to certain U.K. specific amendments)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U.K. is recognized as providing adequate protection under the EU GDPR and, therefore, transfers of personal data originating in the EU to the U.K. remain unrestricted. Likewise, the U.K. government has confirmed that personal data transfers from the U.K. to the European Economic Area (“EEA”), which consists of the EU Member States, plus Norway, Liechtenstein and Iceland remain free flowing.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California, the California Consumer Privacy Act (“CCPA”) requires covered businesses to comply with specific privacy and security obligations, such as providing disclosures to consumers in California about such companies’ data collection, use and sharing practices, and providing consumers the ability to opt-out of certain sales or transfers of personal information, and providing consumers with a private right of action for certain data breaches. Further, the California Privacy Rights Act (“CPRA”) substantially modifies the CCPA, including by expanding consumers’ rights with respect to certain sensitive personal information and by establishing a state agency vested with the authority to enforce the CCPA. The CPRA also creates additional obligations with respect to the processing of personal information, including regulating personal information collected about employees, applicants and retirees as well as that which is collected in a business-to-business capacity.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other U.S. states have either passed or enacted privacy legislation similar to the CCPA, which incorporate similar concepts of the CCPA, but contain key differences in the scope, application, and enforcement which may complicate compliance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individual imprisonment, and additional reporting obligations and oversight if we become subject to a corporate integrity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agreement or other agreement to resolve allegations of non-compliance with this law, any of which could adversely affect our ability to operate our business and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Regulation in the European Union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Trial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2014, the EU adopted the new Clinical Trials Regulation, (EU) No 536/2014, which replaced the previous Clinical Trials Directive 2001/20/EC on 31 January 2022. The Clinical Trials Regulation is directly applicable in all EU Member States meaning no national implementing legislation in each EU Member State is required. The Clinical Trials Regulation aims to simplify and streamline the approval of clinical trials in the EU. The main characteristics of the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been established for the assessment of CTAs.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Marketing Authorization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EU, medicinal products, including advanced therapy medicinal products (“ATMPs”), are subject to extensive pre- and post-market regulation by regulatory authorities at both the EU and national levels. ATMPs comprise gene therapy products, somatic cell therapy products and tissue engineered products. We anticipate that our gene therapy development products would be regulated as ATMPs in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obtain regulatory approval of our medicinal products in the EU, we must submit a marketing authorization application (“MAA”) to the EMA.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centralized procedure provides for the grant of a single marketing authorization by the EC that is valid throughout the EU, and in the additional member states of the EEA (Iceland, Norway and Liechtenstein). Pursuant to Regulation (EC) No. 726/2004, the centralized procedure is compulsory for specific products, including for medicines produced by certain biotechnological processes, products designated as orphan medicinal products, ATMPs, and products with a new active substance indicated for the treatment of certain diseases, including products for the treatment of cancer, HIV or AIDS, diabetes, neurodegenerative disorders, autoimmune and other immune dysfunctions and viral diseases. For those products for which the use of the centralized procedure is not mandatory, applicants may elect to use the centralized procedure where either the product contains a new active substance indicated for the treatment of diseases other than those listed above, or where the applicant can show that the product constitutes a significant therapeutic, scientific or technical innovation or for which the centralized procedure is in the interest of patients at an EU level.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Specifically, the grant of marketing authorization in the EU for ATMPs is governed by Regulation (EC) No. 1394/2007 on ATMPs, read in combination with Directive 2001/83/EC on medicinal products. Regulation (EC) No. 1394/2007 lays down specific rules concerning the authorization, supervision, and pharmacovigilance of gene therapy medicinal products, somatic cell therapy medicinal products, and tissue engineered products. Manufacturers of ATMPs must demonstrate the quality, safety, and efficacy of their products to the Committee for Advanced Therapies (“CAT”), at the EMA, which conducts a scientific assessment of the MAA and provides an opinion regarding the MAA for an ATMP.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Committee for Medicinal Products for Human Use (“CHMP”), established at the EMA, is responsible for issuing a final opinion on whether an ATMP meets the required quality, safety and efficacy requirements, and whether the product has a positive benefit/risk profile. Under the centralized procedure in the EU, the maximum timeframe for the evaluation of an MAA by the EMA is 210 days from receipt of a valid MAA,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it provides the opinion, together with supporting documentation, to the EC, who make the final decision to grant a marketing authorization, which is issued within 67 days of receipt of the EMA’s recommendation. Accelerated evaluation may be granted by the CHMP in exceptional cases, when a medicinal product is expected to be of major interest from the point of view of public health and, in particular, from the viewpoint of therapeutic innovation. If the CHMP accepts such a request, the time 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Data and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EU also provides opportunities for market exclusivity. For example, in the EU, upon receiving marketing authorization, innovative medicinal products generally receive eight years of data exclusivity and an additional two years of market exclusivity.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marketing authorization can be submitted, and the innovator’s data may be referenced, but no generic or biosimilar product can be marketed until the expiration of the market exclusivity period.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an innovative medicinal product, and products may therefore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Orphan Designation and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Products with an orphan designation in the EU will, upon the grant of a marketing authorization for such orphan product, receive ten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where an agreed Pediatric Investigation Plan (“PIP”) for pediatric studies has been complied with. No extension to any supplementary protection certificate (“SPC”) can be granted on the basis of pediatric studies for orphan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criteria for designating an orphan medicinal product in the EU are similar in principle to those in the U.S. Under Article 3 of Regulation (EC) 141/2000, a medicinal product may be designated as an orphan medicinal product if it is intended for the diagnosis, prevention or treatment of (1) a life-threatening or chronically debilitating condition; (2) either (a) 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will receive a fee reduction for the MAA if the orphan drug designation has been granted, but not if the designation is still pending at the time the MAA is submitted. Orphan designation does not convey any advantage in, or shorten the duration of, the regulatory review and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medicinal product for the same therapeutic indication as an authorized orphan product at any time if: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second applicant can establish that its product, although similar to an authorized orphan product, is safer, more effective or otherwise clinically superior to such authorized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marketing authorization holder for the authorized orphan product consents to a second orphan medicinal product application;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marketing authorization holder for the authorized orphan product cannot supply enough orphan medicinal product.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Pediatric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EU, companies developing a new medicinal product must agree upon a PIP with the EMA and must conduct pediatric clinical trials in accordance with that PIP, unless a waiver applies, (e.g., because the relevant disease or condition occurs only in adults). This requirement also applies when a company wants to add a new indication, pharmaceutical form or route of administration for a medicine that is already authorized. The MAA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 month extension of the protection under a SPC provided an application for such extension is made at the same time as filing the SPC application for the product, or at any point up to two years before the SPC expires, even where the trial results are negative. This pediatric reward is subject to specific conditions and is not automatically available when data in compliance with the PIP are developed and submitted.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Post-approval controls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of authorized medicinal products, for which a separate manufacturer’s license is mandatory, must also be conducted in strict compliance with the applicable EU laws, regulations and guidance, including Directive 2001/83/EC, Directive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aforementioned EU rules are generally applicable in the EEA, which consists of the EU Member States, plus Norway, Liechtenstein and Iceland.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EC introduced legislative proposals in April 2023 that, if implemented, will replace the current regulatory framework in the EU for all medicines (including those for rare diseases and for children). The EC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EC’s legislative proposals are approved (with or without amendment), they will be adopted into EU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Brexit and the Regulatory Framework in the United Kingdom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U.K. formally left the EU on January 31, 2020. The EU and the U.K.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The regulatory regime in Great Britain therefore currently aligns with EU regulations in many ways, however it is possible that these regimes will diverge more significantly in the future now that Great Britain’s regulatory system is independent from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MHRA in the U.K. established a new medicines approval pathway following Brexit, known as the Innovative Licensing and Access Pathway (“ILAP”), which aims to accelerate the time to market and facilitate patient access to certain types of medicinal products in development which target a life-threatening or seriously debilitating condition, or where there is a significant patient or public health need. The first step in the ILAP is receipt of an Innovation Passport, which allows for enhanced engagement with the MHRA and its partner agencies. Once an Innovation Passport has been granted, the next step in the pathway is the preparation of a target development profile (“TDP”) document by the MHRA and the U.K.’s health technology assessment agencies. The TDP sets out the regulatory and development milestones, identifies potential issues and creates a roadmap to achieving early patient access in the U.K. The TDP also gives access to a toolkit where a number of tools can be selected as needed for a particular medicine or stage of development. These tools include rolling review of an MAA, whereby data can be submitted for review on a rolling basis as it becomes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1, 2024, a new international recognition framework was put in place by the MHRA, under which the MHRA may have regard to decisions on the approval of marketing authorizations made by the EMA and certain other regulators.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27, 2023, the U.K. government and the EC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Committee on March 24, 2023, so the U.K. Government and the EU will enact legislative measures to enact it into law. On June 9, 2023, the MHRA announced that the medicines aspects of the Windsor Framework will apply from January 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Government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healthcare laws and regulations in the U.S. and EU discussed above, we may be subject to a variety of regulations in these and other jurisdictions governing, among other things, animal research, clinical studies, manufacture, marketing approval, and any commercial sales and distribution of biological products. Because biologically sourced raw materials are subject to unique contamination risks, their use may be restricted in some countries. These regulations may continue to change, and we may be required to change our operations and business conduct in response to these changes.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Coverage and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uncertainty exists as to the coverage and reimbursement status of any biological product for which we obtain regulatory approval. In the U.S. and markets in other countries,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 party payors. Third party payors include government authorities, managed care providers, health maintenance organizations, private health insurers and other organizations. Coverage and reimbursement by a third party payor may depend upon a number of factors, including the third 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U.S., no uniform policy of coverage and reimbursement for biological products, including gene and cellular therapy products, exists among third party payors. As a result, obtaining coverage and reimbursement approval for such a product from a government or other third party payor is a time-consuming and costly process that could require us to provide to each payor supporting scientific, clinical and cost-effectiveness data regarding the products’ clinical benefits and risks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 party payors may not cover, or provide adequate reimbursement for, long-term follow-up evaluations required following the use of our gene-modifying products. Patients are unlikely to use, and health care providers may not prescribe, our product candidates unless coverage is provided, and reimbursement is adequate to cover a significant portion of the product’s cost to the patient. Because our product candidates may have a higher cost of goods than conventional therapies, and may require long-term follow up evaluations, the risk that coverage and reimbursement rates may be inadequate for us to achieve profitability may be greater. Moreover, increasing efforts by governmental and third party payors in the U.S. and abroad to cap or reduce healthcare costs may cause such organizations to limit both coverage and the level of reimbursement for biological products and, as a result, they may not cover or provide adequate payment for our product candidates. In addition, we expect to experience pricing pressures in connection with the sale of any of our product candidates upon their approval due to the trend toward managed healthcare, the increasing influence of health maintenance organizations, cost containment initiatives and additional legislative changes. For these reasons, there is significant uncertainty related to coverage and reimbursement of our future products. It is difficult to predict at this time what third party payors will decide with respect to the coverage and reimbursement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w:t>
        <w:noBreakHyphen/>
        <w:t>party and government payors consistently seek to reduce reimbursements for medical products and services. Additionally, the containment of healthcare costs is a priority of federal and state governments, and the prices of drugs have been a focus in this effort. The U.S. government, state legislatures and foreign governments have shown significant interest in implementing cost</w:t>
        <w:noBreakHyphen/>
        <w:t>containment programs, including price controls, restrictions on reimbursement and requirements for substitution of generic products. Adoption of price controls and cost</w:t>
        <w:noBreakHyphen/>
        <w:t>containment measures, and adoption of more restrictive policies in jurisdictions with existing controls and measures, could further limit our net revenue and results. Decreases in third</w:t>
        <w:noBreakHyphen/>
        <w:t>party reimbursement for our products or a decision by a third</w:t>
        <w:noBreakHyphen/>
        <w:t>party payor to not cover our products could reduce physician usage of the products and have a material adverse effect on our sales,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Medicare Prescription Drug, Improvement, and Modernization Act of 2003 (“MMA”) applies only to drug benefits for Medicare beneficiaries, private payors often follow Medicare coverage policy and payment limitations in setting their own payment rates. Any reduction in payment that results from the MMA may result in a similar reduction in payments from non</w:t>
        <w:noBreakHyphen/>
        <w:t>governmental payors.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likely that our product candidates, once approved, will have to be administered by a health care provider. Under currently applicable U.S. law, certain products not usually self-administered (including injectable drugs) may be eligible for coverage under Medicare Part B. As a condition of receiving Medicare Part B reimbursement, the manufacturer of the therapy is required to participate in other government healthcare programs, including the Medicaid Drug Rebate Program and the 340B Drug Pricing Program, both of which require the manufacturer to provide rebated pricing under certain conditions. For example, the Medicaid Drug Rebate Program requires pharmaceutical manufacturers to have a national rebate agreement with the federal government as a condition for states to receive federal matching funds for the manufacturer’s outpatient drugs furnished to Medicaid patients. Under the 340B Drug Pricing Program, the manufacturer must extend discounts to program eligible entities, which generally are federally funded clinics and hospitals that serve large numbers of low-income and uninsured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prices tend to be significantly lower.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2010, the ACA was enacted in the U.S. The ACA includes measures that have significantly changed, and are expected to continue to significantly change, the way healthcare is financed by both governmental and private insurers. Among the provisions of the ACA of greatest importance to the pharmaceutical industry are that the ACA: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subjects biological products to potential competition by biosimilars;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increased the minimum Medicaid rebates owed by most manufacturers under the Medicaid Drug Rebate Program;</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created a Medicare Part D coverage gap discount program, in which manufacturers must agree to provide a 70% point</w:t>
        <w:noBreakHyphen/>
        <w:t>of</w:t>
        <w:noBreakHyphen/>
        <w:t xml:space="preserve">sale discount off the negotiated price of applicable branded drugs to eligible beneficiaries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their coverage gap period, as a condition for a manufacturer’s outpatient drugs being covered under Medicare Part 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extended a manufacturer’s Medicaid rebate liability to covered drugs dispensed to individuals who are enrolled in Medicaid managed care organizations;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expanded the entities eligible for discounts under the 340B Drug Discount Program;</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imposed an annual, nondeductible fee and tax on any entity that manufactures or imports certain branded prescription drugs, apportioned among these entities according to their market share in certain government healthcare programs;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established mechanisms to oversee, identify priorities in, and conduct comparative clinical effectiveness research, along with funding for such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legislative changes relevant to the healthcare system have been adopted in the U.S. since the ACA was enacted.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2011, the Budget Control Act of 2011, among other things, created measures for spending reductions by Congress that include aggregate reductions of Medicare payments to providers of 2% per fiscal year, which remain in effect through 2031.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2013, the American Taxpayer Relief Act of 2012 was signed into law, which, among other things, further reduced Medicare payments to several providers, including hospitals, imaging centers, cancer centers and other treatment centers, and increased the statute of limitations period for the government to recover overpayments to providers from three to five years.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2019, CMS issued a final rule to allow Medicare Advantage Plans the option to use step therapy, a type of prior authorization, for Part B drugs. This final rule codified CMS’s policy change that was effective January 1, 2019.</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there have been a number of proposed regulatory actions and legislative recommendations aimed at lowering prescription drug prices.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2022, the Inflation Reduction Act of 2022 (the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 of the IRA on our business and the healthcare industry in general is not yet known.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President Biden has issued multiple executive orders that have sought to reduce prescription drug costs. In February 2023, the Department of Health and Human Services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and may affect our overall financial condition and ability to develop product candidates.</w:t>
      </w:r>
    </w:p>
    <w:p>
      <w:pPr>
        <w:pStyle w:val="TextBody"/>
        <w:bidi w:val="0"/>
        <w:spacing w:before="240" w:after="283"/>
        <w:jc w:val="both"/>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the success of Intellia’s mission largely depends on our ability to attract and retain highly skilled employees. We believe programs that foster company engagement, diversity, equity and inclusion, growth and development while providing competitive compensation and benefits will attract a diverse population of employees who will bring innovative ideas and creative solutions that will enable the achievement of our goals. </w:t>
      </w:r>
    </w:p>
    <w:p>
      <w:pPr>
        <w:pStyle w:val="TextBody"/>
        <w:bidi w:val="0"/>
        <w:spacing w:before="240" w:after="283"/>
        <w:jc w:val="both"/>
        <w:rPr>
          <w:rFonts w:ascii="Times New Roman" w:hAnsi="Times New Roman"/>
          <w:sz w:val="20"/>
        </w:rPr>
      </w:pPr>
      <w:r>
        <w:rPr>
          <w:rFonts w:ascii="Times New Roman" w:hAnsi="Times New Roman"/>
          <w:i/>
          <w:color w:val="000000"/>
          <w:sz w:val="20"/>
        </w:rPr>
        <w:t>Company Communications and Engagement</w:t>
      </w:r>
      <w:r>
        <w:rPr>
          <w:rFonts w:ascii="Times New Roman" w:hAnsi="Times New Roman"/>
          <w:color w:val="000000"/>
          <w:sz w:val="20"/>
        </w:rPr>
        <w:t>. Many of our employees actively participate in our Cultural Ambassador program, fostering a grassroots approach to engagement with support and guidance from our executive leadership team. Our Cultural Ambassador programs focus on the following: diversity, equity and inclusion, continuous learning, wellness and sustainability, social events, community outreach, and Intellia values and engagement.</w:t>
      </w:r>
    </w:p>
    <w:p>
      <w:pPr>
        <w:pStyle w:val="TextBody"/>
        <w:bidi w:val="0"/>
        <w:spacing w:before="240" w:after="283"/>
        <w:jc w:val="both"/>
        <w:rPr>
          <w:rFonts w:ascii="Times New Roman" w:hAnsi="Times New Roman"/>
          <w:sz w:val="20"/>
        </w:rPr>
      </w:pPr>
      <w:r>
        <w:rPr>
          <w:rFonts w:ascii="Times New Roman" w:hAnsi="Times New Roman"/>
          <w:i/>
          <w:color w:val="000000"/>
          <w:sz w:val="20"/>
        </w:rPr>
        <w:t>Diversity, Equity and Inclusion.</w:t>
      </w:r>
      <w:r>
        <w:rPr>
          <w:rFonts w:ascii="Times New Roman" w:hAnsi="Times New Roman"/>
          <w:color w:val="000000"/>
          <w:sz w:val="20"/>
        </w:rPr>
        <w:t xml:space="preserve"> As we continue to grow as an organization, we remain dedicated to championing a culture that celebrates diversity and fosters collaboration inside the organization and in our community. Through our partnerships, we can build key relationships in our community and help pave the way for those wanting to pursue a career in the biotechnology industry. We are committed to increasing representation of underrepresented minorities at Intellia, particularly in leadership roles. Our recruiting team underwent bias awareness training, and we have sponsored career fairs and conferences at organizations focused on underrepresented communities to ensure we continue to attract the best talent and increase representation. In addition, current employees are participating in unconscious bias training throughout the year. We continue to expand our DEI efforts with the launch of Employee Resource Groups (“ERGs”) which are voluntary, employee-led groups focused on fostering a diverse, inclusive workplace aligned with ONE Intellia. They are led and participated in by employees who share a characteristic, whether by identity or interest. The groups exist to provide support and help in personal or career development and to create a safe space where employees can bring their whole selves to the table. Coworkers are also invited to join the ERG to support their colleagues. Our team of Senior and Executive Vice Presidents is 54% female and 31% are ethnically diverse. Overall, as of February 16, 2024, our employee population consists of 54% women and 46% men.</w:t>
      </w:r>
    </w:p>
    <w:p>
      <w:pPr>
        <w:pStyle w:val="TextBody"/>
        <w:bidi w:val="0"/>
        <w:spacing w:before="240" w:after="283"/>
        <w:jc w:val="both"/>
        <w:rPr>
          <w:rFonts w:ascii="Times New Roman" w:hAnsi="Times New Roman"/>
          <w:sz w:val="20"/>
        </w:rPr>
      </w:pPr>
      <w:r>
        <w:rPr>
          <w:rFonts w:ascii="Times New Roman" w:hAnsi="Times New Roman"/>
          <w:i/>
          <w:color w:val="000000"/>
          <w:sz w:val="20"/>
        </w:rPr>
        <w:t>Compensation and Benefits, Health and Wellness.</w:t>
      </w:r>
      <w:r>
        <w:rPr>
          <w:rFonts w:ascii="Times New Roman" w:hAnsi="Times New Roman"/>
          <w:color w:val="000000"/>
          <w:sz w:val="20"/>
        </w:rPr>
        <w:t xml:space="preserve"> We are committed to equitable pay, irrespective of gender, race, ethnicity, or sexual orientation, and conduct comprehensive pay-equity analyses on a semi-annual basis. We offer competitive benefits, including competitive salaries, excellent health insurance, and a 401(k) match. We are committed to pay equity, regardless of race, color, religion, gender, national origin, age, sexual orientation, marital or veteran status, disability, or any other legally protected status.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Growth and Development</w:t>
      </w:r>
      <w:r>
        <w:rPr>
          <w:rFonts w:ascii="Times New Roman" w:hAnsi="Times New Roman"/>
          <w:color w:val="000000"/>
          <w:sz w:val="20"/>
        </w:rPr>
        <w:t>. Investing in our employees’ personal and career growth is an important priority at Intellia. We aim to provide a wide range of on-the-job development opportunities, as well as in-person, virtual and off-site training seminars, and tools. Our goal is to ensure our employees have the skills they may need in the future. Of particular importance is fostering leadership with our quarterly “Development Day” series, which serves as a reminder for employees to check-in with themselves and their manager on their development goals. Additionally, we offer seminars and tools to our employees focused on career development within the organization. As part of these initiatives, we conduct an annual development program for our employees to work with their managers to set professional development goals and an action plan. We also have an internal mentorship program for our research and development employees, who can work with more senior employees to learn new skills.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Conduct and Ethics. </w:t>
      </w:r>
      <w:r>
        <w:rPr>
          <w:rFonts w:ascii="Times New Roman" w:hAnsi="Times New Roman"/>
          <w:color w:val="000000"/>
          <w:sz w:val="20"/>
        </w:rPr>
        <w:t>We believe it is imperative that the board of directors and senior management strongly support a no-tolerance stance for workplace harassment, biases and unethical behavior. All employees, including senior management, are required to abide by, review and confirm compliance to the company’s Code of Business Conduct and Ethics Policy and other internal policies that outline our high expectations.</w:t>
      </w:r>
    </w:p>
    <w:p>
      <w:pPr>
        <w:pStyle w:val="TextBody"/>
        <w:bidi w:val="0"/>
        <w:spacing w:before="240" w:after="283"/>
        <w:jc w:val="both"/>
        <w:rPr>
          <w:rFonts w:ascii="Times New Roman" w:hAnsi="Times New Roman"/>
          <w:sz w:val="20"/>
        </w:rPr>
      </w:pPr>
      <w:r>
        <w:rPr>
          <w:rFonts w:ascii="Times New Roman" w:hAnsi="Times New Roman"/>
          <w:b/>
          <w:color w:val="000000"/>
          <w:sz w:val="20"/>
        </w:rPr>
        <w:t>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February 16, 2024, we had 526 full-time employees, 414 of whom were primarily engaged in research and development activities and 160 of whom have an M.D. or Ph.D. degree. </w:t>
      </w:r>
    </w:p>
    <w:p>
      <w:pPr>
        <w:pStyle w:val="TextBody"/>
        <w:bidi w:val="0"/>
        <w:spacing w:before="240" w:after="283"/>
        <w:jc w:val="both"/>
        <w:rPr>
          <w:rFonts w:ascii="Times New Roman" w:hAnsi="Times New Roman"/>
          <w:sz w:val="20"/>
        </w:rPr>
      </w:pPr>
      <w:r>
        <w:rPr>
          <w:rFonts w:ascii="Times New Roman" w:hAnsi="Times New Roman"/>
          <w:b/>
          <w:color w:val="000000"/>
          <w:sz w:val="20"/>
        </w:rPr>
        <w:t>Our Corporate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incorporated under the laws of the State of Delaware in May 2014 under the name AZRN, Inc. and amended our certificate of incorporation in July 2014 to change our name from AZRN, Inc. to Intellia Therapeutics, Inc. Our principal executive offices are located at 40 Erie Street, Suite 130, Cambridge, Massachusetts 02139. Our telephone number is (857) 285-6200, and our website is located at www.intelliatx.com. References to our website are inactive textual references only and the content of our website should not be deemed incorporated by reference into this Annual Report on Form 10-K. </w:t>
      </w:r>
    </w:p>
    <w:p>
      <w:pPr>
        <w:pStyle w:val="TextBody"/>
        <w:bidi w:val="0"/>
        <w:spacing w:before="240" w:after="283"/>
        <w:jc w:val="both"/>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Annual Reports on Form 10-K, Quarterly Reports on Form 10-Q, Current Reports on Form 8-K and any exhibits and amendments to these reports filed or furnished pursuant to Section 13(a) or 15(d) of the Securities Exchange Act of 1934, are available free of charge on our website located at www.intelliatx.com as soon as reasonably practicable after they are filed with or furnished to the Securities and Exchange Commission (the “SEC”).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 maintains an Internet website that contains reports, proxy and information statements, and other information regarding us and other issuers that file electronically with the SEC. The SEC’s Internet website address is http://www.sec.gov.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copy of our Corporate Governance Guidelines, Code of Conduct and Business Ethics and the charters of the Audit Committee, Compensation and Talent Development Committee and Nominating and Corporate Governance Committee are posted on our website, www.intelliatx.com, under “Investors &amp; Media”. </w:t>
      </w:r>
    </w:p>
    <w:p>
      <w:pPr>
        <w:pStyle w:val="TextBody"/>
        <w:bidi w:val="0"/>
        <w:spacing w:before="240" w:after="283"/>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our common stock involves a high degree of risk. In evaluating us and our business, careful consideration should be given to the following risk factors, in addition to the other information set forth in this Annual Report on Form 10-K for the year ended December 31, 2023 and in other documents that we file with the SEC. If any of the following risks and uncertainties actually occurs, our business, prospects, financial condition and results of operations could be materially and adversely affected. The risks described below are not intended to be exhaustive and are not the only risks facing us. New risk factors can emerge from time to time, and we cannot predict the impact that any factor or combination of factors may have on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Preclinical and Clinical Development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CRISPR/Cas9 genome editing technology has only recently been clinically validated for human therapeutic use. The approaches we are taking to discover and develop novel therapeutics using CRISPR/Cas9 systems are unproven and may never lead to marketable products. If we are unable to develop viable product candidates, achieve regulatory approval for any such product candidate or market and sell any product candidates, we may never achieve profitability.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focused on developing curative medicines utilizing CRISPR/Cas9 genome editing technology, including </w:t>
      </w:r>
      <w:r>
        <w:rPr>
          <w:rFonts w:ascii="Times New Roman" w:hAnsi="Times New Roman"/>
          <w:i/>
          <w:color w:val="000000"/>
          <w:sz w:val="20"/>
        </w:rPr>
        <w:t xml:space="preserve">in vivo </w:t>
      </w:r>
      <w:r>
        <w:rPr>
          <w:rFonts w:ascii="Times New Roman" w:hAnsi="Times New Roman"/>
          <w:color w:val="000000"/>
          <w:sz w:val="20"/>
        </w:rPr>
        <w:t xml:space="preserve">therapies and </w:t>
      </w:r>
      <w:r>
        <w:rPr>
          <w:rFonts w:ascii="Times New Roman" w:hAnsi="Times New Roman"/>
          <w:i/>
          <w:color w:val="000000"/>
          <w:sz w:val="20"/>
        </w:rPr>
        <w:t>ex vivo</w:t>
      </w:r>
      <w:r>
        <w:rPr>
          <w:rFonts w:ascii="Times New Roman" w:hAnsi="Times New Roman"/>
          <w:color w:val="000000"/>
          <w:sz w:val="20"/>
        </w:rPr>
        <w:t xml:space="preserve"> engineered cell therapies. Although there have been significant advances in recent years in the fields of gene therapy and genome editing, </w:t>
      </w:r>
      <w:r>
        <w:rPr>
          <w:rFonts w:ascii="Times New Roman" w:hAnsi="Times New Roman"/>
          <w:i/>
          <w:color w:val="000000"/>
          <w:sz w:val="20"/>
        </w:rPr>
        <w:t xml:space="preserve">in vivo </w:t>
      </w:r>
      <w:r>
        <w:rPr>
          <w:rFonts w:ascii="Times New Roman" w:hAnsi="Times New Roman"/>
          <w:color w:val="000000"/>
          <w:sz w:val="20"/>
        </w:rPr>
        <w:t xml:space="preserve">CRISPR-based genome editing technologies are relatively new and their therapeutic utility is largely unproven. Our approach to developing therapies centers on using CRISPR/Cas9 technology to alter, introduce or remove genetic information </w:t>
      </w:r>
      <w:r>
        <w:rPr>
          <w:rFonts w:ascii="Times New Roman" w:hAnsi="Times New Roman"/>
          <w:i/>
          <w:color w:val="000000"/>
          <w:sz w:val="20"/>
        </w:rPr>
        <w:t xml:space="preserve">in vivo </w:t>
      </w:r>
      <w:r>
        <w:rPr>
          <w:rFonts w:ascii="Times New Roman" w:hAnsi="Times New Roman"/>
          <w:color w:val="000000"/>
          <w:sz w:val="20"/>
        </w:rPr>
        <w:t xml:space="preserve">to treat various disorders, or to engineer human cells </w:t>
      </w:r>
      <w:r>
        <w:rPr>
          <w:rFonts w:ascii="Times New Roman" w:hAnsi="Times New Roman"/>
          <w:i/>
          <w:color w:val="000000"/>
          <w:sz w:val="20"/>
        </w:rPr>
        <w:t>ex vivo</w:t>
      </w:r>
      <w:r>
        <w:rPr>
          <w:rFonts w:ascii="Times New Roman" w:hAnsi="Times New Roman"/>
          <w:color w:val="000000"/>
          <w:sz w:val="20"/>
        </w:rPr>
        <w:t xml:space="preserve"> to create therapeutic cells that can be introduced into the human body to address the underlying disease.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Successful development of products by us will require solving a number of issues, including developing or obtaining technologies to safely deliver a therapeutic agent into target cells within the human body or engineer human cells while outside of the body such that the modified cells can have a therapeutic effect when delivered to the patient, optimizing the efficacy and specificity of such products, and ensuring and demonstrating the therapeutic selectivity, efficacy, potency, purity and safety of such products. There can be no assurance we will be successful in solving any or all of these issues. With regards to CRISPR/Cas9-based therapies specifically, we are in clinical-stage development for NTLA-2001 and NTLA-2002 and advancing towards clinical testing for our other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 xml:space="preserve">ex vivo </w:t>
      </w:r>
      <w:r>
        <w:rPr>
          <w:rFonts w:ascii="Times New Roman" w:hAnsi="Times New Roman"/>
          <w:color w:val="000000"/>
          <w:sz w:val="20"/>
        </w:rPr>
        <w:t xml:space="preserve">product candidates. Although one CRISPR/Cas9-edited </w:t>
      </w:r>
      <w:r>
        <w:rPr>
          <w:rFonts w:ascii="Times New Roman" w:hAnsi="Times New Roman"/>
          <w:i/>
          <w:color w:val="000000"/>
          <w:sz w:val="20"/>
        </w:rPr>
        <w:t>ex vivo</w:t>
      </w:r>
      <w:r>
        <w:rPr>
          <w:rFonts w:ascii="Times New Roman" w:hAnsi="Times New Roman"/>
          <w:color w:val="000000"/>
          <w:sz w:val="20"/>
        </w:rPr>
        <w:t xml:space="preserve"> therapy has been recently approved in the United States (“U.S.”) and European Union (“EU”), no genome editing </w:t>
      </w:r>
      <w:r>
        <w:rPr>
          <w:rFonts w:ascii="Times New Roman" w:hAnsi="Times New Roman"/>
          <w:i/>
          <w:color w:val="000000"/>
          <w:sz w:val="20"/>
        </w:rPr>
        <w:t xml:space="preserve">in vivo </w:t>
      </w:r>
      <w:r>
        <w:rPr>
          <w:rFonts w:ascii="Times New Roman" w:hAnsi="Times New Roman"/>
          <w:color w:val="000000"/>
          <w:sz w:val="20"/>
        </w:rPr>
        <w:t>therapy has been approved in the U.S., EU countries or other key jurisdictions, and the potential to successfully obtain approval for any of our CRISPR/Cas9 product candidates remains unproven.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success also is highly dependent on the successful development of CRISPR-based genome editing technologies, cellular delivery methods and therapeutic applications for the indications on which we have focused our ongoing research and development efforts. We may decide to alter or abandon these programs as new data become available and we gain experience in developing CRISPR/Cas9-based therapeutics. We cannot be sure that our CRISPR/Cas9 efforts and technologies will yield satisfactory products that are safe and effective, sufficiently pure or potent, manufacturable, scalable or profitable in our selected indications or any other indication we pursue. We cannot guarantee that progress or success in developing any particular CRISPR/Cas9-based therapeutic product will translate to other CRISPR/Cas9-based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Public perception and related media coverage of potential therapy-related efficacy or safety issues, including adoption of new therapeutics or novel approaches to treatment, as well as ethical concerns related specifically to genome editing and CRISPR/Cas9, may adversely influence the willingness of subjects to participate in clinical trials, or if any therapeutic is approved, of physicians and patients to accept these novel and personalized treatments. Physicians, healthcare providers and third party payors often are slow to adopt new products, technologies and treatment practices, particularly those that may also require additional upfront costs and training. Physicians may not be willing to undergo training to adopt these novel and potentially personalized therapies, may decide the particular therapy is too complex or potentially risky to adopt without appropriate training, and may choose not to administer the therapy. Further, due to health conditions, genetic profile or other reasons, certain patients may not be candidates for the therapies. In addition, responses by federal and state agencies, congressional committees and foreign governments to negative public perception, ethical concerns or financial considerations may result in new legislation, regulations, or medical standards that could limit our ability to develop or commercialize any product candidates, obtain or maintain regulatory approval or otherwise achieve profitability.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 Based on these and other factors, healthcare providers and payors may decide that the benefits of these new therapies do not or will not outweigh their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Clinical development involves a lengthy and expensive process, with an uncertain outcome. We may incur additional costs or experience delays in completing, or ultimately be unable to complete, the development and commercialization of any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of our programs are still in the discovery, preclinical or clinical stage. Our current and future product candidates will require preclinical and clinical activities and studies, regulatory review and approval in each jurisdiction in which we intend to market the products, substantial investment, establishing manufacturing capabilities, access to sufficient commercial manufacturing capacity and significant marketing efforts before we can generate any revenue from product sales. Before obtaining marketing approval from regulatory authorities for the sale of a product candidate, we must conduct extensive clinical trials to demonstrate the safety, purity, potency and efficacy of the product in humans. It is impossible to predict when or if any of our programs will prove effective and safe in humans or will receive regulatory approval. Preclinical and clinical testing is expensive, difficult to design and implement, can take many years to complete and is uncertain as to outcome. We may be unable to establish clinical endpoints that regulatory authorities consider clinically meaningful, and a clinical trial can fail at any stage. The outcome of preclinical testing and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Successful completion of clinical trials is a prerequisite to submitting a Biologics License Application (“BLA”) to the U.S. Food and Drug Administration (“FDA”), and similar applications to comparable foreign regulatory authorities, for each product candidate and, consequently, the ultimate approval and commercial marketing of any product candidates. We do not know whether any of our clinical trials will begin or be completed on schedule, if at all. In addition, the regulatory requirements for later phase clinical trials, such as pivotal trials, are generally more stringent than earlier phase clinical trials, such as Phase 1 trials. We may not meet the requirements of regulatory authorities, such as the FDA, for initiating later phase clinical trials for our product candidates, which could delay the development of our product candidates, including the submission of a BLA or comparable marketing application.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these are new therapeutic approaches, discovering, developing, manufacturing and commercializing our product candidates may subject us to a number of challenges or delays in completing our preclinical studies and initiating or completing clinical trials. We also may experience numerous unforeseen events during, or as a result of, any current or future clinical trials that we conduct, which could delay or prevent our ability to receive marketing approval or commercialize our product candidates,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challenges in obtaining regulatory authorization or approval to conduct clinical trials in the U.S. from the FDA through an investigational new drug (“IND”) application or from other regulatory agencies outside the U.S., such as the United Kingdom (“U.K.”) Medicines and Healthcare products Regulatory Agency (“MHRA”) or the European Medicines Agency (“EMA”), through corresponding applications, such as a clinical trial application, a Clinical Trial Notification or a Clinical Trial Exemption, because these agencies have very limited or no experience with the clinical development of CRISPR/Cas9-based therapeutics, particularly </w:t>
      </w:r>
      <w:r>
        <w:rPr>
          <w:rFonts w:ascii="Times New Roman" w:hAnsi="Times New Roman"/>
          <w:i/>
          <w:color w:val="000000"/>
          <w:sz w:val="20"/>
        </w:rPr>
        <w:t>in vivo</w:t>
      </w:r>
      <w:r>
        <w:rPr>
          <w:color w:val="000000"/>
        </w:rPr>
        <w:t xml:space="preserve"> </w:t>
      </w:r>
      <w:r>
        <w:rPr>
          <w:rFonts w:ascii="Times New Roman" w:hAnsi="Times New Roman"/>
          <w:color w:val="000000"/>
          <w:sz w:val="20"/>
        </w:rPr>
        <w:t>therapeutics, which may require additional significant testing or data compared to more traditional therapies or otherwise delay the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successfully developing processes for the safe administration of these product candidates, including long-term follow-up for patients who receive treatment with any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institutional review boards (“IRBs”) or ethics committees may not authorize us or our investigators to commence a clinical trial or conduct a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inability to reach, or delays in reaching, agreement on acceptable terms with trial sites and contract research organizations (“CROs”);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of any product candidates may fail to show safety or efficacy, or could produce negative or inconclusive results, which could result in having to conduct additional preclinical studies or clinical trials or terminating the product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initiate or complete clinical trials of a product candidate if the required number of subjects is larger than we anticipated, the number of subjects willing to enroll is smaller than required,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pace of enrollment is slower than anticipated, or subjects drop out or fail to return for post-treatment follow-up at a higher rate than we anticipated;</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educate medical personnel, including clinical investigators, and patients regarding the potential benefits and side effect profile of each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agencies may require us to amend our INDs or equivalent regulatory filings, modify the design of our clinical trials or perform more extensive or lengthier preclinical or clinical testing compared to existing therapeutic modalities, any of which may delay the initiation or progression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animal models may not exist, or available animal models may be inadequate, for some of the human diseases we choose to pursue in our programs, or the preclinical studies we perform as part of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 party contractors may fail to comply with regulatory requirements or meet their performance obligations to us in a timely manner, or at all, or may deviate from the clinical trial protocol or drop out of the trial, which may require that we add new clinical trial sites or investigators;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elect to, or regulators, IRBs or ethics committees may require that we or our investigators, suspend or terminate clinical research or trials for various reasons, including noncompliance with regulatory requirements or a finding that the participants are being exposed to unacceptable health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preclinical studies and clinical trials of any product candidates may be greater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preclinical studies and clinical trials of our product candidates may be insufficient or inadequate, or not available in a reasonable timeframe, and any transfer of manufacturing activities may require unforeseen manufacturing or formulation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face challenges in sourcing preclinical, clinical and, if approved, commercial supplies for the materials used to manufacture and process our product candidates, which may include importing or exporting materials between different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such as effects or characteristics resulting from their biodistribution or mechanism of action, causing us or our investigators, regulators, IRBs or ethics committees to suspend or terminate the trials, or reports may arise from preclinical or clinical testing of other gene therapies or genome editing-based therapies that raise safety or efficacy concerns about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regulatory authorities may require us to submit additional data, such as long-term toxicology studies, or impose other requirements, including submitting preclinical data earlier in clinical development compared to existing therapeutic modalities or requiring amendments to our regulatory filings, before permitting us to initiate or rely on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face challenges in establishing sales and marketing capabilities in anticipation of, and after obtaining, any regulatory approval to gain market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regulatory authorities may revise the requirements for authorizing our clinical trials or approving our product candidates, or their interpretation of the authorization or approval requirements may not be what we anticipate or require us to adopt a Risk Evaluation and Mitigation Strategy (“REMS”) or similar requirements as a condition of approval;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we may not ultimately obtain regulatory approval for a BLA, or corresponding applications outside the U.S., such as a marketing authorization application in the U.K. and other similar regulatory authorities, such as the EMA, which may have very limited or no experience with the clinical development of CRISPR/Cas9-based therapeutics, particularly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therapeutics.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the IRBs of the institutions in which such trials are being conducted, the relevant ethics committee or the FDA or other relevant regulatory authorities,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Data Monitoring Committee (“DMC”) for such trial recommends such suspension or termination. Such authorities may impose or recommend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manufacturing or quality control issues,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lead to a delay in submitting a BLA or comparable marketing application or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Additionally, because our </w:t>
      </w:r>
      <w:r>
        <w:rPr>
          <w:rFonts w:ascii="Times New Roman" w:hAnsi="Times New Roman"/>
          <w:i/>
          <w:color w:val="000000"/>
          <w:sz w:val="20"/>
        </w:rPr>
        <w:t xml:space="preserve">in vivo </w:t>
      </w:r>
      <w:r>
        <w:rPr>
          <w:rFonts w:ascii="Times New Roman" w:hAnsi="Times New Roman"/>
          <w:color w:val="000000"/>
          <w:sz w:val="20"/>
        </w:rPr>
        <w:t xml:space="preserve">technology potentially involves genome editing across multiple cell and tissue types, we are subject to many of the challenges and risks that other genome editing therapeutics and gene therapies face,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guidance regarding the requirements governing gene and genome editing therapy products have changed and may continue to change in the future, including, e.g., the finalized guidance document titled “Human Gene Therapy Products Incorporating Human Genome Editing” that the FDA issued in January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to date, only a limited number of products that involve </w:t>
      </w:r>
      <w:r>
        <w:rPr>
          <w:rFonts w:ascii="Times New Roman" w:hAnsi="Times New Roman"/>
          <w:i/>
          <w:color w:val="000000"/>
          <w:sz w:val="20"/>
        </w:rPr>
        <w:t xml:space="preserve">in vivo </w:t>
      </w:r>
      <w:r>
        <w:rPr>
          <w:rFonts w:ascii="Times New Roman" w:hAnsi="Times New Roman"/>
          <w:color w:val="000000"/>
          <w:sz w:val="20"/>
        </w:rPr>
        <w:t>gene transfer have been approved globally;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improper modulation of a gene sequence, including unintended editing events, insertion of a sequence into certain locations in a patient’s chromosome or other effects related to the biodistribution of our product candidates, could lead to cancer, other aberrantly functioning cells or other diseases, including death;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transient expression of the Cas9 protein or other genome editing components of our product candidates could lead to patients having an immunological reaction towards those cells, which could be severe or life-threatening;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agencies may require extended follow-up observation periods of patients who receive treatment using genome editing products including, for example, the FDA’s recommended 15-year follow-up observation period for these patients, and we will need to adopt such observation periods for our product candidates if required by the relevant regulatory agency, which could vary by country or region.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Further, because our </w:t>
      </w:r>
      <w:r>
        <w:rPr>
          <w:rFonts w:ascii="Times New Roman" w:hAnsi="Times New Roman"/>
          <w:i/>
          <w:color w:val="000000"/>
          <w:sz w:val="20"/>
        </w:rPr>
        <w:t xml:space="preserve">ex vivo </w:t>
      </w:r>
      <w:r>
        <w:rPr>
          <w:rFonts w:ascii="Times New Roman" w:hAnsi="Times New Roman"/>
          <w:color w:val="000000"/>
          <w:sz w:val="20"/>
        </w:rPr>
        <w:t>product candidates involve editing human cells and then delivering modified cells to patients, we are subject to many of the challenges and risks that engineered cell therapies face. For example, patients treated with engineered cell-based gene therapies may experience an allogeneic response leading to allograft rejection and potential local and systemic toxicities, which could be severe or life-threatening.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date, most human clinical trials utilizing either </w:t>
      </w:r>
      <w:r>
        <w:rPr>
          <w:rFonts w:ascii="Times New Roman" w:hAnsi="Times New Roman"/>
          <w:i/>
          <w:color w:val="000000"/>
          <w:sz w:val="20"/>
        </w:rPr>
        <w:t>in vivo</w:t>
      </w:r>
      <w:r>
        <w:rPr>
          <w:rFonts w:ascii="Times New Roman" w:hAnsi="Times New Roman"/>
          <w:color w:val="000000"/>
          <w:sz w:val="20"/>
        </w:rPr>
        <w:t xml:space="preserve"> or </w:t>
      </w:r>
      <w:r>
        <w:rPr>
          <w:rFonts w:ascii="Times New Roman" w:hAnsi="Times New Roman"/>
          <w:i/>
          <w:color w:val="000000"/>
          <w:sz w:val="20"/>
        </w:rPr>
        <w:t xml:space="preserve">ex vivo </w:t>
      </w:r>
      <w:r>
        <w:rPr>
          <w:rFonts w:ascii="Times New Roman" w:hAnsi="Times New Roman"/>
          <w:color w:val="000000"/>
          <w:sz w:val="20"/>
        </w:rPr>
        <w:t xml:space="preserve">CRISPR-based therapeutics, including our clinical trials for NTLA-2001 for transthyretin (“ATTR”) amyloidosis and NTLA-2002 for hereditary angioedema (“HAE”), are still at a clinical stage, with only one </w:t>
      </w:r>
      <w:r>
        <w:rPr>
          <w:rFonts w:ascii="Times New Roman" w:hAnsi="Times New Roman"/>
          <w:i/>
          <w:color w:val="000000"/>
          <w:sz w:val="20"/>
        </w:rPr>
        <w:t xml:space="preserve">ex vivo </w:t>
      </w:r>
      <w:r>
        <w:rPr>
          <w:rFonts w:ascii="Times New Roman" w:hAnsi="Times New Roman"/>
          <w:color w:val="000000"/>
          <w:sz w:val="20"/>
        </w:rPr>
        <w:t xml:space="preserve">CRISPR-based therapeutic product approved in December 2023 in the U.S. and EU. We have ongoing clinical trials in various countries for NTLA-2001 and NTLA-2002 for patients with ATTR amyloidosis and HAE, respectively. There is no certainty that the FDA or other similar agencies will continue to apply to all our CRISPR/Cas9 product candidates the same regulatory pathway and requirements it is applying to other </w:t>
      </w:r>
      <w:r>
        <w:rPr>
          <w:rFonts w:ascii="Times New Roman" w:hAnsi="Times New Roman"/>
          <w:i/>
          <w:color w:val="000000"/>
          <w:sz w:val="20"/>
        </w:rPr>
        <w:t xml:space="preserve">in vivo </w:t>
      </w:r>
      <w:r>
        <w:rPr>
          <w:rFonts w:ascii="Times New Roman" w:hAnsi="Times New Roman"/>
          <w:color w:val="000000"/>
          <w:sz w:val="20"/>
        </w:rPr>
        <w:t xml:space="preserve">therapies or </w:t>
      </w:r>
      <w:r>
        <w:rPr>
          <w:rFonts w:ascii="Times New Roman" w:hAnsi="Times New Roman"/>
          <w:i/>
          <w:color w:val="000000"/>
          <w:sz w:val="20"/>
        </w:rPr>
        <w:t xml:space="preserve">ex vivo </w:t>
      </w:r>
      <w:r>
        <w:rPr>
          <w:rFonts w:ascii="Times New Roman" w:hAnsi="Times New Roman"/>
          <w:color w:val="000000"/>
          <w:sz w:val="20"/>
        </w:rPr>
        <w:t xml:space="preserve">engineered therapeutics.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any product candidates encounter safety or efficacy problems, development delays, regulatory issues or other problems, our development plans and business could be significantly harmed. For the reasons described above, among others, regulatory bodies, particularly the FDA, have requested, and may request in the future,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preclinical studies for genome editing products, such as additional studies related to toxicology, biodistribution or reproductive health, and/or preclinical studies earlier in clinical development compared to other therapeutic modalities. Although the FDA cleared the INDs that we have submitted, it is possible that the FDA may impose requirements that result in a delay of any of our programs, including our submission of a BLA or comparable marketing application, or their regulatory approval. For example, following the March 2023 IND clearance for NTLA-2002, the FDA requested supplemental preclinical data related to the inclusion of female patients of child-bearing potential. We expect to submit these data in advance of the planned Phase 3 trial, which will complement the clinical data collected from female patients of child-bearing potential dosed in the ongoing Phase 1/2 study. We cannot guarantee the timing or outcome of these preclinical studies or whether the FDA may require that additional preclinical studies be conducted before commencement of our Phase 3 trial for NTLA-2002. If we are unable to complete the required studies satisfactorily, the FDA or other regulatory bodies could require that we exclude certain patient populations from clinical studies, place our clinical studies on hold, or require us to cease further clinical studies or deny approval of such product candidates. Further, competitors that are developing </w:t>
      </w:r>
      <w:r>
        <w:rPr>
          <w:rFonts w:ascii="Times New Roman" w:hAnsi="Times New Roman"/>
          <w:i/>
          <w:color w:val="000000"/>
          <w:sz w:val="20"/>
        </w:rPr>
        <w:t>in vivo</w:t>
      </w:r>
      <w:r>
        <w:rPr>
          <w:rFonts w:ascii="Times New Roman" w:hAnsi="Times New Roman"/>
          <w:color w:val="000000"/>
          <w:sz w:val="20"/>
        </w:rPr>
        <w:t xml:space="preserve"> or </w:t>
      </w:r>
      <w:r>
        <w:rPr>
          <w:rFonts w:ascii="Times New Roman" w:hAnsi="Times New Roman"/>
          <w:i/>
          <w:color w:val="000000"/>
          <w:sz w:val="20"/>
        </w:rPr>
        <w:t>ex vivo</w:t>
      </w:r>
      <w:r>
        <w:rPr>
          <w:rFonts w:ascii="Times New Roman" w:hAnsi="Times New Roman"/>
          <w:color w:val="000000"/>
          <w:sz w:val="20"/>
        </w:rPr>
        <w:t xml:space="preserve"> products with similar technology may experience problems with their product candidates or programs that could in turn cause us to identify problems with our product candidates and programs, or cause the FDA or other regulatory bodies to impose additional requirements, that could cause us to delay or pause development of our product candidates. Any of these occurrences may harm our ability to identify and develop product candidates, and may harm our business, financial condition, results of operations and prospects significantly.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experience manufacturing delays or other issues that prevent us from executing the clinical trials for NTLA-2001, NTLA-2002, NTLA-3001 or our other product candidates on the timeline we expect. Moreover, we cannot guarantee that the FDA, MHRA, the New Zealand Medicines and Medical Devices Safety Authority, or other regulatory authorities will not change their requirements in the future or approve amendments to our INDs or equivalent regulatory filings, including for NTLA-2001, NTLA-2002, NTLA-3001 or our other product candidates on the timeline we expect. </w:t>
      </w:r>
    </w:p>
    <w:p>
      <w:pPr>
        <w:pStyle w:val="TextBody"/>
        <w:bidi w:val="0"/>
        <w:spacing w:before="240" w:after="283"/>
        <w:jc w:val="both"/>
        <w:rPr>
          <w:rFonts w:ascii="Times New Roman" w:hAnsi="Times New Roman"/>
          <w:sz w:val="20"/>
        </w:rPr>
      </w:pPr>
      <w:r>
        <w:rPr>
          <w:rFonts w:ascii="Times New Roman" w:hAnsi="Times New Roman"/>
          <w:b/>
          <w:i/>
          <w:color w:val="000000"/>
          <w:sz w:val="20"/>
        </w:rPr>
        <w:t>Results, including data from our preclinical and clinical studies, are not necessarily predictive of our other ongoing and future preclinical and clinical studies, and they do not guarantee or indicate the likelihood of approval of any potential product candidate by the FDA or any other regulatory agency. If we cannot replicate positive results from any of our preclinical or clinical activities and studies, we may be unable to successfully develop, obtain regulatory approval for and commercialize any potential product candidate.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disclose interim data from our clinical trials, such as the interim results of our ongoing Phase 1 study of NTLA-2001 or Phase 1/2 study of NTLA-2002 or planned Phase 1 study of NTLA-3001. Interim data from clinical trials that have not been completed are subject to the risk that one or more of the clinical outcomes may materially change as patient enrollment continues and more patient data become available or as patients from our clinical trials continue other treatments for their disease. We also make assumptions, estimations, calculations and conclusions as part of our analyses of data, and we may not have received or had the opportunity to fully and carefully evaluate all data. As a result, results that we report may differ from future results of the same studies, or different conclusions or considerations may qualify such results, once additional data have been received and fully evaluated. Consequently, interim data should be viewed with caution until we make the final data and analysis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there is a high failure rate, as well as potential substantial and unanticipated delays, for product candidates progressing through preclinical and clinical studies. Even if we are able to successfully complete our ongoing and future preclinical and clinical activities and studies for any potential product candidate, we may not be able to replicate, or may have to engage in significant efforts and resource and time investments to replicate, any positive results from these or any other studies in any of our future preclinical and clinical trials, and they do not guarantee approval of any potential product candidate by the FDA or any other necessary regulatory authorities in a timely manner or at all. For more information regarding these risks, see also the remainder of this risk factor section. </w:t>
      </w:r>
    </w:p>
    <w:p>
      <w:pPr>
        <w:pStyle w:val="TextBody"/>
        <w:bidi w:val="0"/>
        <w:spacing w:before="240" w:after="283"/>
        <w:jc w:val="both"/>
        <w:rPr>
          <w:rFonts w:ascii="Times New Roman" w:hAnsi="Times New Roman"/>
          <w:sz w:val="20"/>
        </w:rPr>
      </w:pPr>
      <w:r>
        <w:rPr>
          <w:rFonts w:ascii="Times New Roman" w:hAnsi="Times New Roman"/>
          <w:b/>
          <w:i/>
          <w:color w:val="000000"/>
          <w:sz w:val="20"/>
        </w:rPr>
        <w:t>Negative public opinion and increased regulatory scrutiny of CRISPR/Cas9 use, genome editing or gene therapy generally may damage public perception of the safety of any product candidates that we develop and adversely affect our ability to conduct our business or obtain regulatory approvals for such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 therapy in general, and genome editing in particular, remain novel technologies, with only a limited number of gene therapy products approved to date in the U.S. and EU. Public perception may be influenced by claims that gene therapy or genome editing, including the use of CRISPR/Cas9, is unsafe or unethical, or carries an undue risk of side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effects, such as improper modification of a gene sequence in a patient’s chromosome that could lead to cancer, and gene therapy or genome editing may not gain the acceptance of the public or the medical community. In particular, our success will depend upon physicians who specialize in the treatment of diseases targeted by our product candidates prescribing treatments that involve the use of our product candidates in lieu of, or in addition to, existing treatments with which they are more familiar and for which greater clinical data may be available. In addition, responses by the U.S., state or foreign governments to negative public perception or ethical concerns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could have an adverse effect on our business, financial condition and results of operations and prospects, and may delay or impair the development and commercialization of our product candidates or demand for any products we may develop. For example, certain gene therapy trials led to several well-publicized adverse events, including cases of leukemia and death. Serious adverse events, such as these, in our clinical trials, or other clinical trials involving gene therapy or genome editing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 In addition, the use of the technology by third parties in areas that are not being pursued by us, such as for targeting and editing of embryonic cells, could adversely impact public and governmental perceptions regarding the ethics and risks of the CRISPR/Cas9 technology and lead to social or legal changes that could limit our ability to apply the technology to develop human therapies addressing disease. For example, reports of the use of CRISPR/Cas9 in China and Russia to edit embryos </w:t>
      </w:r>
      <w:r>
        <w:rPr>
          <w:rFonts w:ascii="Times New Roman" w:hAnsi="Times New Roman"/>
          <w:i/>
          <w:color w:val="000000"/>
          <w:sz w:val="20"/>
        </w:rPr>
        <w:t xml:space="preserve">in utero </w:t>
      </w:r>
      <w:r>
        <w:rPr>
          <w:rFonts w:ascii="Times New Roman" w:hAnsi="Times New Roman"/>
          <w:color w:val="000000"/>
          <w:sz w:val="20"/>
        </w:rPr>
        <w:t>have generated, and may continue to generate, negative public perception about the use of the technology in humans. Negative public and governmental perception of the technology, or additional governmental regulation of our technologies, could also adversely affect our stock price or our ability to enter into revenue generating collaborations or obtain additional funding from the public markets.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the Industry</w:t>
      </w:r>
    </w:p>
    <w:p>
      <w:pPr>
        <w:pStyle w:val="TextBody"/>
        <w:bidi w:val="0"/>
        <w:spacing w:before="120" w:after="283"/>
        <w:jc w:val="both"/>
        <w:rPr>
          <w:rFonts w:ascii="Times New Roman" w:hAnsi="Times New Roman"/>
          <w:sz w:val="20"/>
        </w:rPr>
      </w:pPr>
      <w:r>
        <w:rPr>
          <w:rFonts w:ascii="Times New Roman" w:hAnsi="Times New Roman"/>
          <w:b/>
          <w:i/>
          <w:color w:val="000000"/>
          <w:sz w:val="20"/>
        </w:rPr>
        <w:t>Inconclusive results, lack of efficacy, adverse events or additional safety concerns in clinical trials that we or others conduct may impede the regulatory approval process or overall market acceptance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Therapeutic applications of genome editing technologies, and CRISPR/Cas9 in particular, for both </w:t>
      </w:r>
      <w:r>
        <w:rPr>
          <w:rFonts w:ascii="Times New Roman" w:hAnsi="Times New Roman"/>
          <w:i/>
          <w:color w:val="000000"/>
          <w:sz w:val="20"/>
        </w:rPr>
        <w:t>in vivo</w:t>
      </w:r>
      <w:r>
        <w:rPr>
          <w:rFonts w:ascii="Times New Roman" w:hAnsi="Times New Roman"/>
          <w:color w:val="000000"/>
          <w:sz w:val="20"/>
        </w:rPr>
        <w:t xml:space="preserve"> products and </w:t>
      </w:r>
      <w:r>
        <w:rPr>
          <w:rFonts w:ascii="Times New Roman" w:hAnsi="Times New Roman"/>
          <w:i/>
          <w:color w:val="000000"/>
          <w:sz w:val="20"/>
        </w:rPr>
        <w:t>ex vivo</w:t>
      </w:r>
      <w:r>
        <w:rPr>
          <w:rFonts w:ascii="Times New Roman" w:hAnsi="Times New Roman"/>
          <w:color w:val="000000"/>
          <w:sz w:val="20"/>
        </w:rPr>
        <w:t xml:space="preserve"> products, are unproven and must undergo rigorous clinical trials and regulatory review before receiving marketing authorization. If the results of our clinical studies or those of any other third parties, including with respect to genome editing technology or engineered cell therapies, are inconclusive or fail to show efficacy or if such clinical trials give rise to safety concerns or adverse events, we may: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prevented from, or delayed in, obtaining marketing approval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the addition of labeling statements, such as warnings or contraindications, or other types of regulatory restrictions or scrutiny;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required to perform additional clinical studies to support approval or be subject to additional post-marketing testing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regulatory authorities modify or withdraw their legal requirements or written guidance, if any, regarding the applicable regulatory approval pathway or any approval of the product in question, or impose restrictions on its distribution in the form of a modified REMS or similar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sued;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our product candidates could potentially cause other adverse events that have not yet been predicted and the potentially permanent nature of genome editing effects, including CRISPR/Cas9’s effects, on genes or novel cell therapies in the organs of the human body may make these adverse events irreversible. The inclusion of critically ill patients in our clinical studies or those of our competitors may result in deaths or other adverse medical events, including those due to other therapies or medications that such patients may be using. Any of these events could prevent us from achieving or maintaining regulatory approval or market acceptance of our product candidates and impair our ability to achieve profitability. </w:t>
      </w:r>
    </w:p>
    <w:p>
      <w:pPr>
        <w:pStyle w:val="TextBody"/>
        <w:bidi w:val="0"/>
        <w:spacing w:before="240" w:after="283"/>
        <w:jc w:val="both"/>
        <w:rPr>
          <w:rFonts w:ascii="Times New Roman" w:hAnsi="Times New Roman"/>
          <w:sz w:val="20"/>
        </w:rPr>
      </w:pPr>
      <w:r>
        <w:rPr>
          <w:rFonts w:ascii="Times New Roman" w:hAnsi="Times New Roman"/>
          <w:b/>
          <w:i/>
          <w:color w:val="000000"/>
          <w:sz w:val="20"/>
        </w:rPr>
        <w:t>Research and development of biopharmaceutical products is inherently risky. We may not be successful in our efforts to use and enhance our genome editing technology to create a pipeline of product candidates, establish the necessary manufacturing capabilities, obtain regulatory approval and develop commercially successful products, or we may expend our limited resources on programs that do not yield a successful product candidate and fail to capitalize on potential product candidates or diseases that may be more profitable or for which there is a greater likelihood of success. If we fail to develop product candidates, our commercial opportunity, if any, will be limited.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at a clinical stage of development and our technology and approach has not yet led, and may never lead, to the approval or commercialization of any of our product candidates, including NTLA-2001 for ATTR amyloidosis or NTLA-2002 for HAE, or for other product candidates, including NTLA-3001 for alpha-1 antitrypsin deficiency, being deemed appropriate for clinical development and ultimately approval by a regulatory agency. Even if we are successful in building our pipeline of product candidates, completing clinical development, establishing the necessary manufacturing processes and capabilities, obtaining regulatory approvals and commercializing product candidates will require substantial additional funding and are subject to the risks of failure inherent in therapeutic product development. Investment in biopharmaceutical product development involves significant risk that any potential product candidate will fail to demonstrate acceptable safety and efficacy profiles, gain regulatory approval, or become commercially viable. </w:t>
      </w:r>
    </w:p>
    <w:p>
      <w:pPr>
        <w:pStyle w:val="TextBody"/>
        <w:bidi w:val="0"/>
        <w:spacing w:before="240" w:after="283"/>
        <w:jc w:val="both"/>
        <w:rPr>
          <w:rFonts w:ascii="Times New Roman" w:hAnsi="Times New Roman"/>
          <w:sz w:val="20"/>
        </w:rPr>
      </w:pPr>
      <w:r>
        <w:rPr>
          <w:rFonts w:ascii="Times New Roman" w:hAnsi="Times New Roman"/>
          <w:color w:val="000000"/>
          <w:sz w:val="20"/>
        </w:rPr>
        <w:t>We cannot provide any assurance that we will be able to successfully advance any of our product candidates, including NTLA-2001, NTLA-2002, NTLA-3001 or product candidates developed through our collaborations, through the entire research and development process. Any of our other programs may show promise, yet fail to yield product candidates for clinical development or commercialization for many reasons. For more information regarding these risks, see the above risk factor section entitled “</w:t>
      </w:r>
      <w:r>
        <w:rPr>
          <w:rFonts w:ascii="Times New Roman" w:hAnsi="Times New Roman"/>
          <w:color w:val="000000"/>
          <w:sz w:val="20"/>
          <w:u w:val="single"/>
        </w:rPr>
        <w:t>Risks Related to Preclinical and Clinical Development</w:t>
      </w:r>
      <w:r>
        <w:rPr>
          <w:rFonts w:ascii="Times New Roman" w:hAnsi="Times New Roman"/>
          <w:i/>
          <w:color w:val="000000"/>
          <w:sz w:val="20"/>
        </w:rPr>
        <w:t>.</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b/>
          <w:i/>
          <w:color w:val="000000"/>
          <w:sz w:val="20"/>
        </w:rPr>
        <w:t>Even if we obtain regulatory approval of any product candidates, such candidates may not gain market acceptance among physicians, patients, hospitals, third party payors and others in the medical community.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use of the CRISPR/Cas9 system to create genome editing-based therapies is a recent development and may not become broadly accepted by patients, healthcare providers, third party payors and other stakeholders. A variety of factors will influence whether our product candidates are accepted in the market, including, for example: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incidence and severity of any side effects, including any unintended deoxyribonucleic acid (“DNA”)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labeling or product insert requirements of the FDA or other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other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availability or existence of competitive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upfront costs or training required for healthcare providers to administer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adequate coverage, reimbursement and pricing by government authorities and other third party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ability to access healthcare providers capable of delivering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willingness and ability to pay out-of-pocket in the absence of coverage and reimbursement by government authorities and other third 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relative convenience and ease of administration, including as compared to alternative treatments and competitive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restrictions on the use of our product candidates together with other medications;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interactions of our product candidates with other medicines patients are taking;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adverse events for any products developed, or negative interactions with regulatory agencies, by us or others in the gene therapy and genome editing fields;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Even if our products achieve market acceptance, we may not be able to maintain that market acceptance over time if new products or technologies are introduced that are more favorably received than our products, are more cost effective or render our products obsolete. In addition, adverse publicity due to the ethical and social controversies surrounding the therapeutic </w:t>
      </w:r>
      <w:r>
        <w:rPr>
          <w:rFonts w:ascii="Times New Roman" w:hAnsi="Times New Roman"/>
          <w:i/>
          <w:color w:val="000000"/>
          <w:sz w:val="20"/>
        </w:rPr>
        <w:t xml:space="preserve">in vivo </w:t>
      </w:r>
      <w:r>
        <w:rPr>
          <w:rFonts w:ascii="Times New Roman" w:hAnsi="Times New Roman"/>
          <w:color w:val="000000"/>
          <w:sz w:val="20"/>
        </w:rPr>
        <w:t>use of CRISPR/Cas9, genome edited modified cells, or other therapeutics mediums, such as viral vectors that we may use in our clinical trials may limit market acceptance of our product candidates. If our product candidates are approved but fail to achieve market acceptance among physicians, patients, hospitals, third party payors or others in the medical community, we will not be able to generate significant revenue. Our efforts to educate the healthcare providers, patients and third party payors about our products may require significant resources and may never be successful.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Third Party and Licensed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Third party claims of intellectual property infringement against us, our licensors or our collaborators may prevent or delay our product discovery and development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avoiding infringement of the valid patents and proprietary rights of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in the fields in which we are developing our product candidates and in areas potentially related to components and methods we use or may use in our research and development efforts. As industry, government, academia and other biotechnology and pharmaceutical research expands and more patents are issued, the risk increases that our product candidates may give rise to claims of infringement of the patent rights of others. Our development candidates are complex and may include multiple components such as Cas9 protein or messenger ribonucleic acid encoding Cas9 protein, guide ribonucleic acids (“gRNAs”), targeting molecules, or formulation components such as lipids. We cannot guarantee that any of these components of our technology, processes, future product candidates or the use of such product candidates do not infringe third party patents. It is also possible that we have failed to identify relevant third party patents or applications. Because patent rights are granted jurisdiction-by-jurisdiction, our freedom to practice certain technologies, including our ability to research, develop and commercialize our product candidates, may differ by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assert that we infringe their patents or that we are otherwise employing their proprietary technology without authorization, and may sue us. There may be third party patents with claims to compositions, formulations, methods of manufacture or methods of use or treatment that cover product candidates we discover and develop.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or the manufacture, use or sale of our product candidates or products that we develop infringes these patents. If a court of competent jurisdiction were to hold that we infringed such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holders of any such patents may be able to block our ability to commercialize the applicable product candidate or products unless we obtain a license under the applicable patents, or until such patents expire or are finally determined to be held invalid or unenforceable. Such a license may not be available on commercially reasonable terms or at all. Even if we were able to obtain a license, it could be non-exclusive, thereby giving our competitors access to the same technologies licensed to us. We could be forced, including by court order, to cease commercializing, manufacturing or importing the infringing technology or product. In addition, we could be found liable for monetary damages, including treble damages and attorneys’ fees if we are found to have willfully infringed a patent. A finding of infringement could prevent us from commercializing one or more of our product candidates or products that we develop, force us to redesign our infringing products or force us to cease some or all of our business operations, any of which could materially harm our business and could prevent us from further developing and commercializing such products or future product candidates, thereby causing us significant harm. If we are unable to obtain a necessary license to a third party patent on commercially reasonable terms, our ability to commercialize our product candidates or products that we develop may be impaired or delayed, which could in turn significantly harm our business. In addition, we may be obligated to defend and/or indemnify our existing or potential collaborators, clinical investigators, contract manufacturing organizations (“CMOs”), CROs, consultants or vendors if a third party asserts similar infringement claims against them based on use of our technologies or the manufacture, use or sale of our product candidates or products that we develop, including product candidates or products developed with our collaborators. Claims that we have misappropriated the confidential information or trade secrets of third parties could have a similar negative impact on our business. Even if we are not found liable for infringing or misappropriating the intellectual property of a third party, such claims could be expensive and time-consuming to defend and could result in adverse publicity that could harm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seek to claim intellectual property rights that encompass or overlap with intellectual property that we own or license from them or others. Legal proceedings may be initiated to determine the scope and ownership of these rights, and could result in our loss of rights, including injunctions or other equitable relief that could effectively block our ability to further develop and commercialize our product candidates or products that we develop, including product candidates or products developed with our collaborators. For example, through a license agreement between Caribou Biosciences, Inc. and us (the “Caribou License”), we sublicense the rights of the Regents of the University of California and the University of Vienna (collectively, “UC/Vienna”) to a worldwide patent portfolio that covers methods of use and compositions relating to engineered CRISPR/Cas9 systems for, among other things, cleaving or editing DNA and altering gene product expression in various organisms, including eukaryotic cells. We sublicense the UC/Vienna rights to this portfolio for human therapeutic, prophylactic and palliative uses, including companion diagnostics, except for anti-fungal and anti-microbial uses. This patent portfolio to-date includes, for example, multiple granted, allowed, and/or allowable patent applications in the U.S., as well as granted patents from the European Patent Office, the United Kingdom’s Intellectual Property Office, the German Patent and Trade Mark Office, Australia’s Intellectual Property agency and China’s Intellectual Property Office, among others. Because UC/Vienna co-own this portfolio with Dr. Emmanuelle Charpentier (who has separately licensed her rights to other parties), we refer to this co-owned worldwide patent portfolio as the “UC/Vienna/Charpentier patent family.”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could assert that our licensors, such as UC/Vienna/Charpentier, do not have rights to the licensed technology (such as the CRISPR/Cas9 technology in the case of the Caribou License), including inventorship and ownership rights to currently issued or allowable patents, or that any rights owned by our licensors, such as UC/Vienna/Charpentier, are limited. If such third parties were found to have rights to the licensed technology (such as CRISPR/Cas9 technology), we could be required to obtain rights from such parties or cease our development and commercialization efforts. For example, under our Caribou License, we have rights to patent applications owned by UC/Vienna/Charpentier covering certain aspects of CRISPR/Cas9 systems to edit genes in eukaryotic cells, including human cells (collectively, the “UC/Vienna/Charpentier eukaryotic patent family”). The Broad Institute, Massachusetts Institute of Technology, the President and Fellows of Harvard College and the Rockefeller University (collectively, the “Broad Institute”) co-own patents and patent applications that also claim CRISPR/Cas9 systems to edit genes in eukaryotic cells (collectively, the “Broad Institute patent family”). Because the respective owners of various UC/Vienna/Charpentier patent applications and the Broad Institute patent family both allege owning intellectual property claiming overlapping aspects of CRISPR/Cas9 systems and methods to edit genes in eukaryotic cells, including human cells, our ability to market and sell CRISPR/Cas9-based human therapeutics may be adversely impacted depending on the scope and actual ownership over the inventions claimed in the competing patent portfolios. On June 25, 2019, the Patent Trial and Appeal Board (“PTAB”) of the U.S. Patent and Trademark Office (“USPTO”) declared an interference between the UC/Vienna/Charpentier eukaryotic patent family and the Broad Institute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family to determine which research group first invented the use of the CRISPR/Cas9 technology in eukaryotic cells and, therefore, is entitled to the U.S. patents covering that invention. The interference involved 14</w:t>
      </w:r>
      <w:r>
        <w:rPr>
          <w:rFonts w:ascii="Times New Roman" w:hAnsi="Times New Roman"/>
          <w:color w:val="CC0000"/>
          <w:sz w:val="20"/>
        </w:rPr>
        <w:t xml:space="preserve"> </w:t>
      </w:r>
      <w:r>
        <w:rPr>
          <w:rFonts w:ascii="Times New Roman" w:hAnsi="Times New Roman"/>
          <w:color w:val="000000"/>
          <w:sz w:val="20"/>
        </w:rPr>
        <w:t>allowable patent applications from the UC/Vienna/Charpentier eukaryotic patent family and 13</w:t>
      </w:r>
      <w:r>
        <w:rPr>
          <w:rFonts w:ascii="Times New Roman" w:hAnsi="Times New Roman"/>
          <w:color w:val="CC0000"/>
          <w:sz w:val="20"/>
        </w:rPr>
        <w:t xml:space="preserve"> </w:t>
      </w:r>
      <w:r>
        <w:rPr>
          <w:rFonts w:ascii="Times New Roman" w:hAnsi="Times New Roman"/>
          <w:color w:val="000000"/>
          <w:sz w:val="20"/>
        </w:rPr>
        <w:t>patents and one patent application from the Broad Institute patent family. On February 28, 2022, the PTAB issued a Decision of Priority and Judgment in the interference finding that the Broad Institute patent family has priority over the UC/Vienna/Charpentier patent family with respect to the subject matter of the interference. An appeal and cross-appeal from the interference are pending at the United States Court of Appeals for the Federal Circuit as Case Nos. 22-1594 and 22-1653.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14, 2020, the PTAB declared an additional interference between the same 14 allowable patent applications in the UC/Vienna/Charpentier patent family, and one patent application owned by ToolGen, Inc. And, on June 21, 2021, the PTAB declared another interference between the same 14 allowable patent applications in the UC/Vienna/Charpentier patent family and one patent application owned by Sigma-Aldrich Co. LLC (a subsidiary of Merck KGaA). Because the patent applications involved in these interferences also purport to cover the use of CRISPR/Cas9 for gene editing in eukaryotic cells, the PTAB seeks to determine between the various groups which one invented first and is entitled to the resulting U.S. patents. A decision on motions issued in the ToolGen interference on September 28, 2022, and the priority phase of that interference was suspended until a mandate concludes the Federal Circuit appeal and cross-appeal in the UC/Vienna/Charpentier interference with the Broad Institute. The Sigma-Aldrich interference is in its motions phase, and an order scheduling oral argument issued on October 24, 2022. If either the Broad Institute, ToolGen or Sigma-Aldrich were to succeed in any of their respective interferences, the prevailing party or parties could seek to assert its issued patents against us based on our CRISPR/Cas9-based activities, including commercialization. In addition, the prevailing party may assert similar infringement claims against our existing or potential collaborators, clinical investigators, CMOs, CROs, consultants or vendors, and we may be obligated to defend and/or indemnify those parties against such infringement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third parties, such as Vilnius University and Harvard University, filed patent applications claiming CRISPR/Cas9-related inventions around or within a year after the first patent application filed in the UC/Vienna/Charpentier patent family and allege (or may allege) that they invented one or more of the inventions claimed by UC/Vienna/Charpentier before UC/Vienna/Charpentier. If the USPTO deems the scope of any of such third party’s claims sufficiently overlap with the allowable claims from the applicable patent applications in the UC/Vienna/Charpentier patent family, the USPTO could declare other interference proceedings to determine the actual inventor of such claims. If these third parties were to prevail in their inventorship claims or obtain patent claims that cover our product candidates or related activities through these various legal proceedings, then we could be prevented from utilizing the intellectual property we have licensed from Caribou, as well as from developing and commercializing all or some of our products candidates unless we can obtain rights to the third parties’ intellectual property or avoid or invalidate 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many third parties, including the third parties described above, have also filed patent applications and obtained patents covering aspects of the CRISPR/Cas9 technology in other key jurisdictions, including the EU members, the U.K., China and Japan. If these patents are deemed valid and cover our product candidates or related activities, we could be prevented from developing and commercializing all or some of our product candidates unless we license the relevant intellectual property or avoid 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Defense of any potential infringement claims, regardless of their merit, would involve substantial litigation expense, would be a substantial diversion of management and other employee resources from our business and may impact our reputation. In the event of a successful claim of infringement against us, or a third party that we are obliged to defend and indemnify,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In that event, we could be unable to further develop and commercialize our product candidates, which could harm our business significantly.</w:t>
      </w:r>
    </w:p>
    <w:p>
      <w:pPr>
        <w:pStyle w:val="TextBody"/>
        <w:bidi w:val="0"/>
        <w:spacing w:before="240" w:after="283"/>
        <w:jc w:val="both"/>
        <w:rPr>
          <w:rFonts w:ascii="Times New Roman" w:hAnsi="Times New Roman"/>
          <w:sz w:val="20"/>
        </w:rPr>
      </w:pPr>
      <w:r>
        <w:rPr>
          <w:rFonts w:ascii="Times New Roman" w:hAnsi="Times New Roman"/>
          <w:b/>
          <w:i/>
          <w:color w:val="000000"/>
          <w:sz w:val="20"/>
        </w:rPr>
        <w:t>We depend on intellectual property licensed from third parties and termination or modification of any of these licenses could result in the loss of significant rights, which would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licensed from others, including Caribou. Any termination of these licenses, loss by our licensors of the rights they receive from others, diminution of our rights or those of our licensors, or a finding that such intellectual property lacks legal effect, could result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significant rights and could harm our ability to commercialize any product candidates. For example, UC/Vienna could challenge Caribou’s rights under their agreement, including Caribou’s right to sublicense its rights to others, such as Intellia, and on what terms such a sublicense would be granted, each of which could adversely impact our rights under our agreement with Caribou. Similarly, Caribou or other licensors, or other third parties from which we derive rights, could challenge the scope of our licensed rights or fields under our license agreement, which could adversely impact our exclusive rights to use CRISPR/Cas9 technology in our human therapeutics field. For example, in connection with the arbitration regarding the scope of the Caribou License, we executed a leaseback agreement with Caribou granting it a sublicense to develop and commercialize CB-010, which is a chimeric antigen receptor T (“CAR-T”) cell therapy directed at CD19. The leaseback agreement could adversely affect our business or that of our collaborators developing similar human therapeutics.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Disputes have and may arise between us and our licensors, our licensors and their licensors, or us and third parties that co-own intellectual property with our licensors or their licensors, regarding intellectual property subject to a license agreement, including those relating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rights, if any, granted under the license agreement and other interpretation-related issues;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products and processes infringe on, or derive from, intellectual property of the licensor that is not subject to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our licensor or its licensor had the right to grant the license agreement, or whether they are compliant with their contractual obligations to their respective licensor(s);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third parties are entitled to compensation or equitable relief, such as an injunction, for our use of the intellectual property without their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sublicense patent and other rights to third parties, including those under collaborative development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are complying with our obligations with respect to the use of the licensed technology in relation to our development and commercialization of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involvement in the prosecution, defense and enforcement of the licensed patents and our licensors’ overall patent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allocation of ownership of inventions and know-how resulting from the joint creation or use of intellectual property by our licensors and by us and our partners;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amounts of royalties, milestones or other payments due under the license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in part, on our licensors to file, prosecute, maintain, defend and enforce patents and patent applications that are material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relating to our product candidates are controlled by certain of our licensors or their respective licensors. Each of our licensors or their licensors generally has rights to file, prosecute, maintain and defend the patents we have licensed from such licensor. If these licensors or any future licensees and in some cases, co-owners from which we do not yet have licenses, having rights to file, prosecute, maintain, and defend our patent rights fail to adequately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by our licensors or their respective licensors have been or will be conducted in compliance with applicable laws and regulations or in our best interests, or will result in valid and enforceable patents or other intellectual property rights. Pursuant to the terms of the license agreements with our licensors, the licensors may have the right to control enforcement of our licensed patents or defense of any claims asserting the invalidity of these patents and, even if we are permitted to pursue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enforcement or defense, we cannot ensure the cooperation of our licensors or, in some cases, other necessary parties, such as the co-owners of the intellectual property from which we have not yet obtained a license. We cannot be certain that our licensors or their licensors, and in some cases, their respective co-owners, will allocate sufficient resources or prioritize their or our enforcement of such patents or defense of such claims to protect our interests in the licensed patents. For example, with respect to our sublicensed rights from Caribou to UC/Vienna/Charpentier intellectual property, UC retained the right to control the prosecution, enforcement and defense of this intellectual property in its license agreement with Caribou and, pursuant to an Invention Management Agreement, shares these responsibilities with CRISPR Therapeutics AG and, under certain circumstances, ERS Genomics, Ltd., as the designated managers of the intellectual property. For these reasons, UC may be unable or unwilling to prosecute certain patent claims that would be best for our product candidates, or enforce its patent rights against infringers of the UC/Vienna/Charpentier patent family.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not a party to legal actions or other disputes involving our licensed intellectual property,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successful in obtaining or maintaining necessary rights to product components and processes or other technology for our product development pipeline.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growth of our business will likely depend in part on our ability to acquire or in-license additional proprietary rights. For example, our programs may involve additional product candidates, delivery systems or technologies that may require the use of additional proprietary rights held by third parties, including competitors. Our ultimate product candidates may also require specific modifications or formulations to work effectively and efficiently. These modifications or formulations may be covered by intellectual property rights held by others, including competitors. We may be unable to acquire or in-license any relevant third party intellectual property rights that we identify as necessary or important to our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licensing and acquisition of third party intellectual property rights is a competitive practice and companies that may be more established, or have greater resources than we do, may also be pursuing strategies to license or acquire third 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successfully obtain rights to valid third party intellectual property or to maintain the existing intellectual property rights we have, we may have to abandon development of such program and our business and financial condition could suffer.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required to pay certain milestones and royalties under our license agreements with third party licensors.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our current and future license agreements and other technology agreements, we may be required to pay milestones and royalties based on our revenues, including sales revenues of our products, utilizing the technologies acquired, licensed or sublicensed from third parties, including Caribou and Rewrite Therapeutics, Inc. (“Rewrite”), and these milestones and royalty payments could adversely affect our ability to research, develop and obtain approval of product candidates, as well as the overall profitability for us of any products that we may seek to commercialize. In order to maintain our intellectual property rights under these agreements, we will need to meet certain specified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milestones, subject to certain cure provisions, in the development of our product candidates. Further, our counterparties, including our licensors (or their licensors) or licensees, may dispute the terms, including amounts, that we are required to pay under the respective agreements. If these claims were to result in a material increase in the amounts that we are required to pay to our counterparties, including licensors or their licensors, or in a claim of breach of the applicable agreement, our ability to research, develop and obtain approval of product candidates, or to commercialize products, could be significantly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these agreements contain diligence milestones and we may not be successful in meeting all of the milestones in the future on a timely basis or at all. We will need to outsource and rely on third parties for many aspects of the clinical development, sales and marketing of our products covered under our license agreements and other technology agreements. Delay or failure by these third parties could adversely affect the continuation of these agreements with their counterparties, including our licensors or their licensors.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Patents and Trademarks</w:t>
      </w:r>
    </w:p>
    <w:p>
      <w:pPr>
        <w:pStyle w:val="TextBody"/>
        <w:bidi w:val="0"/>
        <w:spacing w:before="120" w:after="283"/>
        <w:jc w:val="both"/>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products or product candidates, or asserting and defending our intellectual property rights that protect our products and technologies.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anticipate that we will file additional patent applications both in the U.S. and in other countries, as appropriate. However, we cannot predict: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and when any patents will 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degree and range of protection any issued patents will afford us against competitors, including whether third parties will find ways to invalidate or otherwise circumvent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others will apply for or obtain patents claiming aspects similar to those covered by our patents and patent applications;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certain governments will appropriate our intellectual property rights and allow competitors to use them;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will need to initiate litigation or administrative proceedings to assert or defend our patent rights, which may be costly whether we win or lose.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any claims in our pending or future patent applications covering the composition of matter of our product candidates will be considered patentable by the USPTO or by patent offices in foreign countries, or that the claims in any of our ultimately issued patents will be considered valid and enforceable by courts in the U.S. or foreign countries. Method of use patents protect the use of a product for the specified method, for example a method of treating a certain indication using a product.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or prosecute.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can be uncertain, and evaluating the scope of such patents involves complex legal and scientific analyses. The patent applications that we own or in-license may fail to result in issued patents with claims that cover any product candidates or uses thereof in the U.S. or in other foreign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the patent prosecution process is expensive and time-consuming, and we may not be able to file and prosecute all necessary or desirable patent applications at a reasonable cost, in a timely manner, or in all jurisdictions.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parties. We may also require the cooperation of our licensors or other necessary parties, such as the co-owners of the intellectual property from which we have not yet obtained a license, in order to enforce the licensed patent rights, and such cooperation may not be provided. Therefore, these patents and applications may not be prosecuted and enforced in a manner consistent with the best interests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laws of foreign countries may not protect our rights to the same extent as the laws of the U.S. and we may fail to seek or obtain patent protection in all major markets. For example, European patent law restricts the patentability of methods of treatment of the human body more than U.S. law does. Publications of discoveries in the scientific literature often lag behind the actual discoveries, and patent applications in the U.S. and other jurisdictions are typically not published until 18 months after filing, or in some cases not at all. Therefore, we will be unable to know with certainty whether we were the first to make any inventions claimed in any patents or patent applications, or that we were the first to file for patent protection of such inventions, nor can we know whether those from whom we license patents were the first to make the inventions claimed or were the first to file.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U.S. and abroad. There is a substantial amount of litigation as well as administrative proceedings for challenging patents, including interference, derivation, reexamination, and other post-grant proceedings before the USPTO and oppositions and other comparable proceedings in foreign jurisdictions, involving patents and other intellectual property rights in the biotechnology and pharmaceutical industries, and we expect this to be true for the CRISPR/Cas9 space as well. Indeed, a number of third parties have filed oppositions challenging the validity, and seeking the revocation, of several CRISPR/Cas9 genome editing patents granted to UC/Vienna/Charpentier by the European Patent Office (“EPO”). To date, UC/Vienna/Charpentier have successfully defended before the EPO’s opposition division the validity of their first European patent, which covers compositions comprising Cas9 and single gRNA molecules, as well as methods of editing DNA </w:t>
      </w:r>
      <w:r>
        <w:rPr>
          <w:rFonts w:ascii="Times New Roman" w:hAnsi="Times New Roman"/>
          <w:i/>
          <w:color w:val="000000"/>
          <w:sz w:val="20"/>
        </w:rPr>
        <w:t>in vitro</w:t>
      </w:r>
      <w:r>
        <w:rPr>
          <w:rFonts w:ascii="Times New Roman" w:hAnsi="Times New Roman"/>
          <w:color w:val="000000"/>
          <w:sz w:val="20"/>
        </w:rPr>
        <w:t xml:space="preserve"> or </w:t>
      </w:r>
      <w:r>
        <w:rPr>
          <w:rFonts w:ascii="Times New Roman" w:hAnsi="Times New Roman"/>
          <w:i/>
          <w:color w:val="000000"/>
          <w:sz w:val="20"/>
        </w:rPr>
        <w:t>ex vivo</w:t>
      </w:r>
      <w:r>
        <w:rPr>
          <w:rFonts w:ascii="Times New Roman" w:hAnsi="Times New Roman"/>
          <w:color w:val="000000"/>
          <w:sz w:val="20"/>
        </w:rPr>
        <w:t xml:space="preserve"> using Cas9 and single gRNAs. The opponents to this patent have appealed the decision of the EPO’s opposition division. If UC/Vienna/Charpentier fail in defending the validity of its first European patent, we may lose valuable intellectual property rights, such as the right to exclude others from using such intellectual property. Such an outcome could have a material adverse effect on our business in Europe. Similarly, third parties are opposing the other patents issued by the EPO to UC/Vienna/Charpentier, including their second European patent that was recently revoked by the EPO’s opposition division, a decision that UC/Vienna/Charpentier have appealed. Although the claims of these other patents are more limited in scope compared to the first European patent, the inability to defend their respective validity could result in loss of valuable rights. In addition, since the passage of the America Invents Act in 2013, U.S. law also provides for other procedures to challenge patents, including </w:t>
      </w:r>
      <w:r>
        <w:rPr>
          <w:rFonts w:ascii="Times New Roman" w:hAnsi="Times New Roman"/>
          <w:i/>
          <w:color w:val="000000"/>
          <w:sz w:val="20"/>
        </w:rPr>
        <w:t>inter partes</w:t>
      </w:r>
      <w:r>
        <w:rPr>
          <w:rFonts w:ascii="Times New Roman" w:hAnsi="Times New Roman"/>
          <w:color w:val="000000"/>
          <w:sz w:val="20"/>
        </w:rPr>
        <w:t xml:space="preserve"> reviews and post-grant reviews, that add uncertainty to the possibility of challenge to our developed or licensed patents and patent applications in the future.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See the above risk factor titled “</w:t>
      </w:r>
      <w:r>
        <w:rPr>
          <w:rFonts w:ascii="Times New Roman" w:hAnsi="Times New Roman"/>
          <w:i/>
          <w:color w:val="000000"/>
          <w:sz w:val="20"/>
        </w:rPr>
        <w:t>Third party claims of intellectual property infringement against us, our licensors or our collaborators may prevent or delay our product discovery and development efforts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challenges may result in loss of exclusivity or freedom to operate or in patent claims being narrowed, invalidated or held unenforceable, in whole or in part, which could limit our ability to practice the invention or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is threatened, this could dissuade companies from collaborating with us to develop, and could threaten our ability to commercialize, product candidates. Further, if we encounter delays in our clinical trials, the period of time during which we could market product candidates under patent protection would be reduced. Because patent applications in the U.S. and most other countries are confidential for a period of time after filing, we cannot be certain that we were the first to file any patent application related to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pending and future patent applications or the patent applications that we obtain rights to through in-licensing arrangements may not result in patents being issued which protect our technology or future product candidates,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Litigation or other administrative proceedings challenging our intellectual property, including interferences, derivation, reexamination, </w:t>
      </w:r>
      <w:r>
        <w:rPr>
          <w:rFonts w:ascii="Times New Roman" w:hAnsi="Times New Roman"/>
          <w:i/>
          <w:color w:val="000000"/>
          <w:sz w:val="20"/>
        </w:rPr>
        <w:t>inter partes</w:t>
      </w:r>
      <w:r>
        <w:rPr>
          <w:rFonts w:ascii="Times New Roman" w:hAnsi="Times New Roman"/>
          <w:color w:val="000000"/>
          <w:sz w:val="20"/>
        </w:rPr>
        <w:t xml:space="preserve"> reviews and post-grant reviews, may result in a decision adverse to our interests and, even if we are successful, may result in substantial costs and distract our management and other employees. Furthermore, there could be public announcement of the results of hearings, motions or other interim proceedings or developments in any proceeding challenging the issuance, scope, validity and enforceability of our developed or licensed intellectual property. If securities analysts or investors perceive these results to be negative, it could have a substantial adverse effect on the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potential negative developments could impact the scope, validity, enforceability or commercial value of our patent rights and, as a result, have material adverse effect on our business, financial condition, results of operations or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subject to claims that former employees, collaborators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For example, the UC/Vienna/Charpentier patent family that is covered by our license agreement with Caribou is co-owned by UC/Vienna and Dr. Charpentier, and our sublicense rights are derived from the first two co-owners and not from Dr. Charpentier. Therefore, our rights to these patents are not exclusive and third parties, including competitors, may have access to intellectual property that is important to our business. In addition, we may have inventorship disputes arise from conflicting obligations of collaborators, consultants or others who are involved in developing our technology and product candidates. Litigation or other legal proceedings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limited foreign intellectual property rights and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limited intellectual property rights outside the U.S. Filing, prosecuting, maintaining and defending patents on product candidates in all countries throughout the world would be prohibitively expensive, and our intellectual property rights in some countries outside the U.S. can have a different scope and strength than do those in the U.S. In addition, the laws of some foreign countries, such as China, Brazil, Russia, India and South Africa,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U.S. These products may compete with our products and our patents or other intellectual property rights may not be effective or adequate to prevent them from competing. In addition, in jurisdictions outside the U.S., a license may not be enforceable unless all the owners of the intellectual property agree or consent to the license. Further, patients may choose to travel to countries in which we do not have intellectual property rights or which do not enforce these rights to obtain the products or treatment from competitors in such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such as China, Brazil, Russia, India and South Africa, do not favor the enforcement of patents, trade secrets and other intellectual property, particularly those relating to biopharmaceutical products, which could make it difficult in those jurisdictions for us to stop the infringement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involved in lawsuits to protect or enforce our patents, the patents of our licensors or our licenses, which could be expensive, time-consuming, and unsuccessful.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cease such infringement or unauthorized use, we may be required to file patent infringement claims, which can be expensive and time-consuming.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or derivation proceedings may result in a decision adverse to our interests and, even if we are successful, may result in substantial costs and distract our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if a party to our licenses, either a licensee or licensor, were to breach or challenge our rights under the relevant license agreement (or if one of our licensor’s own licensors were to challenge our licensor’s rights), we may have to initiate or participate in a legal proceeding to enforce our rights. Any such legal proceeding could be expensive and time-consuming. In addition, if a court or other tribunal were to rule against us, we could lose key intellectual property and financial rights. Pursuing or defending against these legal claims, regardless of merits, would involve substantial legal expense and would be a substantial diversion of employee resources from our business. Furthermore, because of the substantial amount of discovery required in connection with intellectual property litigation or contractual litigation there is a risk that some of our confidential information could be compromised by disclosure during this type of litigation or proceeding.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the USPTO or comparable foreign authority.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is invalid or unenforceable. In patent litigation in the U.S., defendant counterclaims alleging invalidity or unenforceability are commonplace, and there are numerous grounds upon which a third party can assert invalidity or unenforceability of a patent. Third parties may also raise similar claims before administrative bodies in the U.S. or other jurisdictions, even outside the context of litigation. Such mechanisms include re-examination, </w:t>
      </w:r>
      <w:r>
        <w:rPr>
          <w:rFonts w:ascii="Times New Roman" w:hAnsi="Times New Roman"/>
          <w:i/>
          <w:color w:val="000000"/>
          <w:sz w:val="20"/>
        </w:rPr>
        <w:t>inter partes</w:t>
      </w:r>
      <w:r>
        <w:rPr>
          <w:rFonts w:ascii="Times New Roman" w:hAnsi="Times New Roman"/>
          <w:color w:val="000000"/>
          <w:sz w:val="20"/>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would lose at least part, and perhaps all,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patent protection on our product candidates. For example, as highlighted in the above risk factor entitled “</w:t>
      </w:r>
      <w:r>
        <w:rPr>
          <w:rFonts w:ascii="Times New Roman" w:hAnsi="Times New Roman"/>
          <w:i/>
          <w:color w:val="000000"/>
          <w:sz w:val="20"/>
        </w:rPr>
        <w:t>We could be unsuccessful in obtaining or maintaining adequate patent protection for one or more of our products or product candidates, or asserting and defending our intellectual property rights that protect our products and technologies”</w:t>
      </w:r>
      <w:r>
        <w:rPr>
          <w:rFonts w:ascii="Times New Roman" w:hAnsi="Times New Roman"/>
          <w:color w:val="000000"/>
          <w:sz w:val="20"/>
        </w:rPr>
        <w:t xml:space="preserve">, various third parties have filed challenges to the validity of UC/Vienna/Charpentier’s European patents, which cover compositions comprising Cas9 and gRNA molecules, as well as methods of editing DNA </w:t>
      </w:r>
      <w:r>
        <w:rPr>
          <w:rFonts w:ascii="Times New Roman" w:hAnsi="Times New Roman"/>
          <w:i/>
          <w:color w:val="000000"/>
          <w:sz w:val="20"/>
        </w:rPr>
        <w:t>in vitro</w:t>
      </w:r>
      <w:r>
        <w:rPr>
          <w:rFonts w:ascii="Times New Roman" w:hAnsi="Times New Roman"/>
          <w:color w:val="000000"/>
          <w:sz w:val="20"/>
        </w:rPr>
        <w:t xml:space="preserve"> or </w:t>
      </w:r>
      <w:r>
        <w:rPr>
          <w:rFonts w:ascii="Times New Roman" w:hAnsi="Times New Roman"/>
          <w:i/>
          <w:color w:val="000000"/>
          <w:sz w:val="20"/>
        </w:rPr>
        <w:t>ex vivo</w:t>
      </w:r>
      <w:r>
        <w:rPr>
          <w:rFonts w:ascii="Times New Roman" w:hAnsi="Times New Roman"/>
          <w:color w:val="000000"/>
          <w:sz w:val="20"/>
        </w:rPr>
        <w:t xml:space="preserve"> using Cas9 and gRNAs. If UC/Vienna/Charpentier fail in defending the validity of these patents, we may lose valuable intellectual property rights, such as the exclusive right to use such intellectual property. Such an outcome could have a material adverse effect on our business in Europe.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trademarks and trade names are not adequately protected, then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future, potential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Potential Disclosure of Confidential Information</w:t>
      </w:r>
    </w:p>
    <w:p>
      <w:pPr>
        <w:pStyle w:val="TextBody"/>
        <w:bidi w:val="0"/>
        <w:spacing w:before="120" w:after="283"/>
        <w:jc w:val="both"/>
        <w:rPr>
          <w:rFonts w:ascii="Times New Roman" w:hAnsi="Times New Roman"/>
          <w:sz w:val="20"/>
        </w:rPr>
      </w:pPr>
      <w:r>
        <w:rPr>
          <w:rFonts w:ascii="Times New Roman" w:hAnsi="Times New Roman"/>
          <w:b/>
          <w:i/>
          <w:color w:val="000000"/>
          <w:sz w:val="20"/>
        </w:rPr>
        <w:t>Confidentiality agreements with employees and third parties may not prevent unauthorized disclosure of trade secrets and other proprietary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protection afforded by patents, we seek to rely on trade secret protection and confidentiality agreements to protect our proprietary and confidential information. We also utilize proprietary processes for which it would be difficult to enforce patents. In addition, other elements of our product discovery and development processes involve proprietary know-how, information, or technology that is not covered by patents. Trade secrets, however, may be difficult to protect. We seek to protect our proprietary processes, in part, by entering into confidentiality agreements with our employees, consultants, outside scientific advisors, contractors, and collaborators, and we also rely on federal and state laws requiring our directors, employees, contractors and collaborators to protect our proprietary information.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U.S. As a result, we may encounter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problems in protecting and defending our intellectual property both in the U.S.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 Our trade secrets and other confidential information of ours may also be exposed through cybersecurity attacks, ransomware attacks, and other hacking attempts directed at our information technology systems and those of our employees, consultants, outside scientific advisors, contractors, vendors and collaborators. For more information, see the risk factor section entitled “</w:t>
      </w:r>
      <w:r>
        <w:rPr>
          <w:rFonts w:ascii="Times New Roman" w:hAnsi="Times New Roman"/>
          <w:color w:val="000000"/>
          <w:sz w:val="20"/>
          <w:u w:val="single"/>
        </w:rPr>
        <w:t>Risks Related to Data and Privacy.</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our employees, directors, consultants, or independent contractors have wrongfully used or disclosed confidential information of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received confidential and proprietary information from third parties. In addition, we employ individuals who were previously employed at other biotechnology or pharmaceutical companies as well as academic research institutions. We may be subject to claims that we or our employees, directors, consultants, or independent contractors have inadvertently or otherwise used or disclosed confidential information of these third parties or our employees’ former employers. Litigation may be necessary to defend against these claims, which could result in money damages or a judicial order prohibiting the use of certain intellectual property. Even if we are successful in defending against these claims, litigation could result in substantial cost and be a distraction to our management and employees.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Past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never generated any revenue from product sales and our ability to generate revenue from product sales and become profitable depends significantly on our success in a number of areas.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products approved for commercial sale, have not generated any revenue from product sales, and do not anticipate generating any revenue from product sales until we have received regulatory approval for the commercial sale of one of our product candidates. Our ability to generate revenue, and achieve and retain profitability, depends significantly on our success in many areas,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approvals and marketing authorizations for our lead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market acceptance of our product candidates as viable treatment options;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launching and commercializing product candidates for which we obtain regulatory approvals and marketing authorizations, either directly or with a collaborator or distributor;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accurately assessing the size and addressability of potential patient populations;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and know-how;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avoiding infringement of or obtaining licenses to any valid intellectual property owned or controlled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or which may be necessary for us to develop, manufacture or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good relationships with our collaborators and licensors;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a sustainable and scalable manufacturing process for product candidates, including establishing and maintaining commercially viable supply relationships with third parties, such as CMOs, and potentially establishing our own manufacturing capabilities and infrastructure;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completing research, preclinical and clinical development of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resources in developing commercial manufacturing and operational infrastructure prior to clinical evidence of safety and efficacy for a given product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selecting commercially viable product candidates and effective delivery methods.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one or more product candidates that we discover and develop are approved for commercial sale, we anticipate incurring significant costs associated with commercializing any approved product candidate and the timing of such costs may be out of our control. If we are not able to generate revenue from the sale of any approved products, we may never become profitable.</w:t>
      </w:r>
    </w:p>
    <w:p>
      <w:pPr>
        <w:pStyle w:val="TextBody"/>
        <w:bidi w:val="0"/>
        <w:spacing w:before="240" w:after="283"/>
        <w:jc w:val="both"/>
        <w:rPr>
          <w:rFonts w:ascii="Times New Roman" w:hAnsi="Times New Roman"/>
          <w:sz w:val="20"/>
        </w:rPr>
      </w:pPr>
      <w:r>
        <w:rPr>
          <w:rFonts w:ascii="Times New Roman" w:hAnsi="Times New Roman"/>
          <w:b/>
          <w:i/>
          <w:color w:val="000000"/>
          <w:sz w:val="20"/>
        </w:rPr>
        <w:t>Our operating history may make difficult the evaluation of our business’s success to date and assessment of our future viability.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company. We were founded and commenced operations in mid-2014. All of our product candidates are still in the preclinical development or clinical stage. We have not yet demonstrated our ability to successfully complete any clinical trials, including large-scale, pivotal clinical trials, obtain marketing approvals, manufacture clinical and commercial scale therapeutics, or arrange for a third party to do so on our behalf, or conduct sales and marketing activities necessary for successful commercialization. Our ability to generate product revenue or profits, which we do not expect will occur for many years, if ever, will depend heavily on the successful development and eventual commercialization of our product candidates, which may never occur. We may never be able to develop or commercialize a marketable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of our programs may require additional discovery research and then preclinical and clinical development, regulatory approval in multiple jurisdictions, obtaining manufacturing supply, capacity and expertise, building of a commercial organization, substantial investment and significant marketing efforts before we generate any revenue from product sales. In addition, our product candidates must be approved for marketing by the FDA, or certain other foreign regulatory agencies, before we may commercialize any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operating history, particularly in light of the rapidly evolving genome editing field, may make it difficult to evaluate our current business and predict our future performance. Our relatively short history as an operating company makes any assessment of our future success or viability subject to significant uncertainty. We will encounter risks and difficulties frequently experienced by clinical-stage companies in rapidly evolving fields. If we do not address these risks successfully, our business will suffer.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net losses in each period since our inception, anticipate that we will continue to incur net losses in the future and may never achieve profitability.</w:t>
      </w:r>
    </w:p>
    <w:p>
      <w:pPr>
        <w:pStyle w:val="TextBody"/>
        <w:bidi w:val="0"/>
        <w:spacing w:before="120" w:after="283"/>
        <w:jc w:val="both"/>
        <w:rPr>
          <w:rFonts w:ascii="Times New Roman" w:hAnsi="Times New Roman"/>
          <w:sz w:val="20"/>
        </w:rPr>
      </w:pPr>
      <w:r>
        <w:rPr>
          <w:rFonts w:ascii="Times New Roman" w:hAnsi="Times New Roman"/>
          <w:color w:val="000000"/>
          <w:sz w:val="20"/>
        </w:rPr>
        <w:t>We are not profitable and have incurred losses in each period since our inception. Our net loss was $481.2 million for the year ended December 31, 2023. As of December 31, 2023, we had an accumulated deficit of $1,658.4</w:t>
      </w:r>
      <w:r>
        <w:rPr>
          <w:rFonts w:ascii="Times New Roman" w:hAnsi="Times New Roman"/>
          <w:color w:val="CC0000"/>
          <w:sz w:val="20"/>
        </w:rPr>
        <w:t xml:space="preserve"> </w:t>
      </w:r>
      <w:r>
        <w:rPr>
          <w:rFonts w:ascii="Times New Roman" w:hAnsi="Times New Roman"/>
          <w:color w:val="000000"/>
          <w:sz w:val="20"/>
        </w:rPr>
        <w:t>million. We expect these losses to increase as we continue to incur significant research and development and other expenses related to our ongoing 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 We expect to finance our operations through a combination of collaboration revenue, equity or debt financings or other sources, which may include collaborations with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critical aspect of our strategy is to invest significantly in our technology to improve the efficacy and safety of potential product candidates that we discover. Even if we succeed in discovering, developing and ultimately commercializing one or more of these product candidates, we will continue to incur losses for the foreseeable future relating to our substantial research and development expenditures to develop our technologies.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Future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need to raise substantial additional funding to fund our operations. If we fail to obtain additional financing, we may be unable to complete the development and commercialization of any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have required substantial amounts of cash since inception, and we expect to spend substantial amounts of our financial resources on our discovery programs going forward and future development efforts. Before obtaining marketing approval from regulatory authorities for the sale of any product candidate, we must complete preclinical development, manufacture (or have manufactured) product candidates and components, and then conduct extensive clinical trials to demonstrate the safety and efficacy of any of our future product candidates in humans. Because preclinical and clinical testing is expensive and can take many years to complete, we may require additional funding to complete these undertakings. Further, if we are able to identify product candidates that are eventually approved, we will require significant additional amounts in order to launch and commercialize our product candidates. For the foreseeable future, we expect to continue to rely on additional financing to achieve our business objectives. Our future capital requirements will depend on and could increase significantly as a result of many factors, including the scope, progress, results and costs of drug discovery, preclinical development, laboratory testing and clinical trials for our current or future product candidates, including additional expenses attributable to adjusting our development plans (including any supply related matters).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require additional capital for the further development and commercialization of any product candidates and may need to raise additional funds sooner if we choose to expand more rapidly than we presently anticipate or due to other unanticipated factors. Disruptions in the financial markets in general have made equity and debt financing more difficult to obtain, and may have a material adverse effect on our ability to meet our fundraising needs.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manufacture or commercialization of our product candidates or other research and development initiatives. Our collaboration and license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above events could significantly harm our business, prospects, financial condition and results of operations and cause the price of our common stock to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Raising additional capital may cause dilution to our stockholders and restrict our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need additional capital in the future to continue our planned operations. To the extent that we raise additional capital through the sale of equity or convertible debt securities, the ownership interest of our existing stockholders may be diluted, and the terms of these securities may include liquidation or other preferences that adversely affect the rights of our common stockholders. In addition, the valuation of public companies may require selling equity at lower prices to ensure appropriate capitalization.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both"/>
        <w:rPr>
          <w:rFonts w:ascii="Times New Roman" w:hAnsi="Times New Roman"/>
          <w:sz w:val="20"/>
        </w:rPr>
      </w:pPr>
      <w:r>
        <w:rPr>
          <w:rFonts w:ascii="Times New Roman" w:hAnsi="Times New Roman"/>
          <w:b/>
          <w:i/>
          <w:color w:val="000000"/>
          <w:sz w:val="20"/>
        </w:rPr>
        <w:t>Unfavorable national or global economic conditions or political developments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could be adversely affected by general conditions in the national or global economy and financial markets. For example, governmental statements, actions or policies, political unrest and global financial crises can cause extreme volatility and disruptions in the capital and credit markets. A severe or prolonged economic downturn, political unrest or additional global financial crises, could result in a variety of risks to our business, including weakened demand for our products,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further political developments and financial market conditions could adversely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Inadequate funding for, or change of priorities or disruptions at, the FDA and other government agencies in or outside the U.S. could hinder their ability to hire, retain, or deploy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and other similar regulatory agencies to review and approve new products can be affected by a variety of factors, including government budget and funding levels, ability to hire and retain key personnel and authorization to accept the payment of user fees, reallocation of resources to address unique or new healthcare issues (or other future public health concerns), and statutory, regulatory, and policy changes. In addition, government funding of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Securities and Exchange Commission (the “SEC”), have had to furlough critical FDA, SEC and other government employees and stop critical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prolonged government shutdown occurs in the U.S. or other jurisdictions where we plan to conduct our clinical trials, manufacturing, or other operations, it could significantly impact the ability of the relevant agency, such as the FDA, to timely review and process our regulatory submissions, which could have a material adverse effect on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Manufacturing and Supply</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In vivo </w:t>
      </w:r>
      <w:r>
        <w:rPr>
          <w:rFonts w:ascii="Times New Roman" w:hAnsi="Times New Roman"/>
          <w:b/>
          <w:i/>
          <w:color w:val="000000"/>
          <w:sz w:val="20"/>
        </w:rPr>
        <w:t xml:space="preserve">genome editing products and </w:t>
      </w:r>
      <w:r>
        <w:rPr>
          <w:rFonts w:ascii="Times New Roman" w:hAnsi="Times New Roman"/>
          <w:b/>
          <w:color w:val="000000"/>
          <w:sz w:val="20"/>
        </w:rPr>
        <w:t xml:space="preserve">ex vivo </w:t>
      </w:r>
      <w:r>
        <w:rPr>
          <w:rFonts w:ascii="Times New Roman" w:hAnsi="Times New Roman"/>
          <w:b/>
          <w:i/>
          <w:color w:val="000000"/>
          <w:sz w:val="20"/>
        </w:rPr>
        <w:t>engineered cell therapies based on CRISPR/Cas9 genome editing technology are novel and may be complex and difficult to manufacture. We could experience manufacturing problems that result in delays in the development, approval or commercialization of our product candidates or otherwise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manufacturing process used to produce CRISPR/Cas9-based </w:t>
      </w:r>
      <w:r>
        <w:rPr>
          <w:rFonts w:ascii="Times New Roman" w:hAnsi="Times New Roman"/>
          <w:i/>
          <w:color w:val="000000"/>
          <w:sz w:val="20"/>
        </w:rPr>
        <w:t xml:space="preserve">in vivo </w:t>
      </w:r>
      <w:r>
        <w:rPr>
          <w:rFonts w:ascii="Times New Roman" w:hAnsi="Times New Roman"/>
          <w:color w:val="000000"/>
          <w:sz w:val="20"/>
        </w:rPr>
        <w:t xml:space="preserve">and engineered cell therapy product candidates may be complex, as they are novel and have not been validated for late phase clinical and commercial production and may require components that are difficult to obtain or manufacture at the necessary quantities and in accordance with regulatory requirements. Several factors could cause production interruptions, including equipment malfunctions; facility unavailability or contamination; raw material cost, shortages or contamination; natural disasters, such as pandemics or other outbreaks or similar public health crises; disruption in utility services; human error; insufficient personnel; inability to meet legal or regulatory requirements; or disruptions in the operations of our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our product candidates are regulated as biologics, their processing steps will be more complex than those of most small molecule drugs. Moreover, unlike small molecules, the physical and chemical properties of a complex product such as ours generally cannot be fully characterized. As a result, assays of the finished product or relevant components may not be sufficient to ensure that the product will perform in the intended manner. For this reason, we will employ multiple steps to control the manufacturing process to ensure that the process results in product candidates that meet their specifications, but complications at any one step could adversely impact our manufacturing of products. Further, we may encounter problems achieving adequate quantities and quality of clinical grade materials that meet the FDA or other relevant regulatory agency’s applicable standards or our specifications with consistent and acceptable production yields and costs. Manufacturing process irregularities, even minor deviations from the normal process, could result in product defects or manufacturing issues that cause lot failures, product recalls, product liability claims and litigation, insufficient inventory or production interruption. In addition, product manufacturing and supply could be delayed if the FDA and other regulatory authorities require us to submit lot samples, testing results and protocols, or if they require that we not distribute a lot until they authorize the product’s release.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certain of our product candidates may require components that are unavailable or difficult to acquire or manufacture at the necessary scale and in compliance with regulatory requirements to support our clinical trials or, if approved, commercial efforts. We expect to continue to rely on third party CMOs to manufacture these components and the final product candidates for the foreseeable future. We may not have full control of these CMOs and they may prioritize other customers or be unable to provide us with enough manufacturing capacity to meet our objectives.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may rely on CMOs outside the U.S. for certain components of our product candidates, and may be subject to importation regulations that may affect our ability to manufacture or increase the cost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may encounter problems developing our own manufacturing capabilities, including hiring and retaining the experienced scientific, engineering, quality and manufacturing personnel needed to operate or supervise the necessary manufacturing processes. These issues could result in delays in production or difficulties in maintaining compliance with applicable regulatory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manufacturing and supply issues or delays could restrict our ability to meet clinical or market demand for our products, and be costly to us and otherwise harm our business, financial condition, results of operations and prospects. Further, any problems in manufacturing processes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Obtaining Regulatory Approval</w:t>
      </w:r>
    </w:p>
    <w:p>
      <w:pPr>
        <w:pStyle w:val="TextBody"/>
        <w:bidi w:val="0"/>
        <w:spacing w:before="120" w:after="283"/>
        <w:jc w:val="both"/>
        <w:rPr>
          <w:rFonts w:ascii="Times New Roman" w:hAnsi="Times New Roman"/>
          <w:sz w:val="20"/>
        </w:rPr>
      </w:pPr>
      <w:r>
        <w:rPr>
          <w:rFonts w:ascii="Times New Roman" w:hAnsi="Times New Roman"/>
          <w:b/>
          <w:i/>
          <w:color w:val="000000"/>
          <w:sz w:val="20"/>
        </w:rPr>
        <w:t>While the regulatory framework for approval of gene therapy including genome editing products exists, the limited precedent for genome-edited products makes the regulatory approval process potentially more unpredictable and we may experience significant delays in the clinical development and regulatory approval, if any,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research, testing, manufacturing, labeling, approval, selling, import, export, marketing and distribution of drug products, including genome editing therapeutics and engineered cell therapies, are subject to extensive regulation by the FDA in the U.S. and other regulatory authorities in other jurisdictions. For example, we are not permitted to market any drug or biological product, including </w:t>
      </w:r>
      <w:r>
        <w:rPr>
          <w:rFonts w:ascii="Times New Roman" w:hAnsi="Times New Roman"/>
          <w:i/>
          <w:color w:val="000000"/>
          <w:sz w:val="20"/>
        </w:rPr>
        <w:t xml:space="preserve">in vivo </w:t>
      </w:r>
      <w:r>
        <w:rPr>
          <w:rFonts w:ascii="Times New Roman" w:hAnsi="Times New Roman"/>
          <w:color w:val="000000"/>
          <w:sz w:val="20"/>
        </w:rPr>
        <w:t xml:space="preserve">products or engineered cell therapies, until we receive regulatory approval from the relevant regulatory agency, such as the FDA in the U.S. or EMA in the EU. We expect the novel nature of our product candidates to create challenges or raise questions from regulatory agencies in obtaining regulatory approval. For example, in the U.S., the FDA has not approved any </w:t>
      </w:r>
      <w:r>
        <w:rPr>
          <w:rFonts w:ascii="Times New Roman" w:hAnsi="Times New Roman"/>
          <w:i/>
          <w:color w:val="000000"/>
          <w:sz w:val="20"/>
        </w:rPr>
        <w:t xml:space="preserve">in vivo </w:t>
      </w:r>
      <w:r>
        <w:rPr>
          <w:rFonts w:ascii="Times New Roman" w:hAnsi="Times New Roman"/>
          <w:color w:val="000000"/>
          <w:sz w:val="20"/>
        </w:rPr>
        <w:t xml:space="preserve">gene editing-based therapeutic and has only approved one </w:t>
      </w:r>
      <w:r>
        <w:rPr>
          <w:rFonts w:ascii="Times New Roman" w:hAnsi="Times New Roman"/>
          <w:i/>
          <w:color w:val="000000"/>
          <w:sz w:val="20"/>
        </w:rPr>
        <w:t>ex vivo</w:t>
      </w:r>
      <w:r>
        <w:rPr>
          <w:rFonts w:ascii="Times New Roman" w:hAnsi="Times New Roman"/>
          <w:color w:val="000000"/>
          <w:sz w:val="20"/>
        </w:rPr>
        <w:t xml:space="preserve"> CRISPR/Cas9 genome editing therapy for human therapeutic use. The FDA may also require a panel of experts, referred to as an Advisory Committee, to deliberate on the adequacy of the safety and efficacy data to support approval. The Advisory Committee’s opinion, although not binding, may significantly impact our ability to obtain approval of our product candidates. Moreover, while we are not aware of any specific genetic or biomarker tests for which regulatory approval would be necessary to advance any of our product candidates to clinical trials or commercialization, regulatory agencies could require the development and approval of such tests. Accordingly, the regulatory approval pathway for such product candidates may be uncertain, complex, expensive and lengthy, as well as different in each jurisdiction, and approval may not be obtained in any, some or all jurisdictions.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Other non-regulatory entities may impact the regulatory agencies’ and ethics committees’ evaluation and approval decision regarding our product candidates. For example, in December 2018, the World Health Organization (“WHO”) established the Expert Advisory Committee on Developing Global Standards for Governance and Oversight of Human Genome Editing. While the standards are expected to focus primarily on germline modifications, the guidelines could impact somatic cell editing research programs, such as ours. </w:t>
      </w:r>
      <w:r>
        <w:rPr>
          <w:rFonts w:ascii="Times New Roman" w:hAnsi="Times New Roman"/>
          <w:color w:val="333333"/>
          <w:sz w:val="20"/>
        </w:rPr>
        <w:t xml:space="preserve">In March 2019, the WHO Expert </w:t>
      </w:r>
      <w:r>
        <w:rPr>
          <w:rFonts w:ascii="Times New Roman" w:hAnsi="Times New Roman"/>
          <w:color w:val="000000"/>
          <w:sz w:val="20"/>
        </w:rPr>
        <w:t xml:space="preserve">Advisory </w:t>
      </w:r>
      <w:r>
        <w:rPr>
          <w:rFonts w:ascii="Times New Roman" w:hAnsi="Times New Roman"/>
          <w:color w:val="333333"/>
          <w:sz w:val="20"/>
        </w:rPr>
        <w:t xml:space="preserve">Committee recommended initiating the first phase of a new global registry (the “Registry”) to track research on human genome editing. Accepting this recommendation, the WHO announced plans in August 2019 for an initial phase of the registry using the International Clinical Trials Registry Platform. This phase will include worldwide registries for both somatic cell editing and germline editing clinical trials. Although </w:t>
      </w:r>
      <w:r>
        <w:rPr>
          <w:rFonts w:ascii="Times New Roman" w:hAnsi="Times New Roman"/>
          <w:color w:val="000000"/>
          <w:sz w:val="20"/>
        </w:rPr>
        <w:t xml:space="preserve">registration of these clinical trials in the WHO’s Registry currently is voluntary, failure to register could impact the evaluation by the regulators and ethics committees. In </w:t>
      </w:r>
      <w:r>
        <w:rPr>
          <w:rFonts w:ascii="Times New Roman" w:hAnsi="Times New Roman"/>
          <w:color w:val="333333"/>
          <w:sz w:val="20"/>
        </w:rPr>
        <w:t xml:space="preserve">July 2021, the WHO Expert Advisory Committee issued recommendations and a governance framework for human genome editing research </w:t>
      </w:r>
      <w:r>
        <w:rPr>
          <w:rFonts w:ascii="Times New Roman" w:hAnsi="Times New Roman"/>
          <w:color w:val="000000"/>
          <w:sz w:val="20"/>
        </w:rPr>
        <w:t xml:space="preserve">intended for the international, regional, national and institutional level. For example, the WHO recommended that: clinical trials using somatic human genome editing technologies be reviewed and approved by the appropriate research ethics committee before inclusion in its Registry; basic and preclinical gene editing research also be included in a registry; somatic or germline human genome editing research should only take place in jurisdictions with domestic policy and oversight mechanisms; and relevant patent holders help ensure equitable access to human genome editing interventions. We cannot predict the impact of the WHO’s current and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recommendations, or any policies or actions that ethics committees or regulatory agencies may take in response to such recommendations, on our research, clinical and business plans and results.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Patient enrollment is a significant factor in the timing of clinical trials and is affected by many factors, including willingness of physicians to use an experimental therapy, the availability of existing treatments, the trial’s geographic locations and the number of patients in each geographic location. In addition, our ability to enroll and dose patients may be delayed by the relevant regulatory authority, as well as the IRB or another ethics committee (whether local or national). </w:t>
      </w:r>
      <w:r>
        <w:rPr>
          <w:rFonts w:ascii="Times New Roman" w:hAnsi="Times New Roman"/>
          <w:color w:val="242424"/>
          <w:sz w:val="20"/>
        </w:rPr>
        <w:t xml:space="preserve">For example, as set forth in the National Institutes of Health </w:t>
      </w:r>
      <w:r>
        <w:rPr>
          <w:rFonts w:ascii="Times New Roman" w:hAnsi="Times New Roman"/>
          <w:color w:val="333333"/>
          <w:sz w:val="20"/>
        </w:rPr>
        <w:t>(“NIH”)</w:t>
      </w:r>
      <w:r>
        <w:rPr>
          <w:rFonts w:ascii="Times New Roman" w:hAnsi="Times New Roman"/>
          <w:color w:val="242424"/>
          <w:sz w:val="20"/>
        </w:rPr>
        <w:t xml:space="preserve"> Guidelines for Research Involving Recombinant or Synthetic Nucleic Acid Molecules (“NIH Guidelines”), gene therapy clinical trials are also subject to review and oversight by an institutional biosafety committee </w:t>
      </w:r>
      <w:r>
        <w:rPr>
          <w:rFonts w:ascii="Times New Roman" w:hAnsi="Times New Roman"/>
          <w:color w:val="333333"/>
          <w:sz w:val="20"/>
        </w:rPr>
        <w:t>(“IBC”)</w:t>
      </w:r>
      <w:r>
        <w:rPr>
          <w:rFonts w:ascii="Times New Roman" w:hAnsi="Times New Roman"/>
          <w:color w:val="242424"/>
          <w:sz w:val="20"/>
        </w:rPr>
        <w:t>, a local institutional committee that reviews and oversees research utilizing recombinant or synthetic nucleic acid molecules at that institution. Before a clinical trial can begin at any institution, that institution’s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r>
        <w:rPr>
          <w:rFonts w:ascii="Times New Roman" w:hAnsi="Times New Roman"/>
          <w:color w:val="000000"/>
          <w:sz w:val="20"/>
        </w:rPr>
        <w:t xml:space="preserve"> Further, a clinical trial may be suspended or terminated by us, the relevant IRBs or ethics committees of the trial, or the FDA or other regulatory authorities, or upon a recommendation of the trial’s DMC, due to a number of factors, including failure to conduct the clinical trial in accordance with regulatory requirements or our clinical protocols,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product candidates, the commercial prospects for such product candidates will be harmed, and our ability to generate product revenue will be impaired. In addition, any delays in completing any clinical trials will increase our costs, slow down our product development and approval process and jeopardize our ability to commence product sales and generate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currently conducting and may in the future conduct other clinical trials for our product candidates outside the U.S., and the FDA and comparable foreign regulatory authorities may not accept data from such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conducting our Phase 3 clinical trial of NTLA-2001, and may in the future conduct clinical trials for our other product candidates, some of which are outside the U.S. The acceptance of data from clinical trials conducted outside the U.S. or another jurisdiction by the FDA or comparable foreign regulatory authority may be subject to certain conditions or may not be accepted at all. The FDA will generally not consider the data from a foreign clinical trial not conducted under an IND unless (i) the trial was well-designed and well-conducted in accordance with good clinical practice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received orphan drug designation for NTLA-2001 and NTLA-2002 and may in the future seek orphan drug designation for some of our other product candidates, but we may be unable to obtain such designations or to maintain the benefits associated with orphan drug status, including market exclusivity, which may cause our revenue, if any, to be reduced.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in some jurisdictions, including the U.S. and Europe, may in response to a request from the sponsor designate products for relatively small patient populations as orphan drugs. Under the Orphan Drug Act, the FDA may grant orphan drug designation to a product intended to treat a rare disease or condition, defined as a disease or condition with a patient population of fewer than 200,000 in the U.S., or a patient population of 200,000 or more in the U.S. when there is no reasonable expectation that the cost of developing and making available the product in the U.S. will be recovered from sales in the U.S. for that product. Orphan drug designation must be requested before submitting a BLA. In the U.S., orphan drug designation entitles a party to financial incentives such as opportunities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grant funding towards clinical trial costs, tax advantages and user-fee waivers. After the FDA grants orphan drug designation, the generic identity of the product and its potential orphan use are disclosed publicly by the FDA.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Orphan drug designation does not convey any advantage in, or shorten the duration of, the regulatory review and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if a product with an orphan drug designation subsequently receives the first marketing approval for the indication for which it has such designation, the product is entitled to a period of marketing exclusivity, which precludes the approval of another marketing application for the same drug for the same indication for that time period. The applicable period is seven years in the U.S. and ten years in the EU (which can be extended to 12 years if the sponsor complies with an agreed-upon pediatric investigation plan). Orphan drug exclusivity may be lost if the FDA or the EMA determines that the request for designation was materially defective or if the manufacturer is unable to assure sufficient quantity of the drug to meet the needs of patients with the rare disease or condition. In addition, the FDA can subsequently approve a marketing application for the same drug, or a product with the same active moiety, for treatment of the same disease or condition if it concludes that the later drug is clinically superior in that it is shown to be safer, more effective or makes a major contribution to patient care. Similarly, the EMA may grant a marketing authorization to a similar medicinal product for the same indication as an authorized orphan product at any time if it is established that the second product, although similar, is safer, more effective or otherwise clinically superior to the authorized product. The FDA and EMA also can approve a different drug for the same orphan indication, or the same drug for a different indication, during the orphan exclusivity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received orphan drug designation from the FDA for NTLA-2001 for the treatment of ATTR amyloidosis and from the FDA and European Commission (“EC”) for NTLA-2002 for the treatment of HAE. We may seek orphan drug designation for some of our other product candidates in orphan indications in which there is a medically plausible basis for the use of these product candidates. Even where we obtain orphan drug designation, exclusive marketing rights in the U.S.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reevaluate the Orphan Drug Act and its regulations and policies. We do not know if, when, or how the FDA may change the orphan drug regulations and policies in the future, and it is uncertain how any changes might affect our business. In addition, the EC introduced a legislative proposal in April 2023 that, if implemented, could reduce the current 10-year marketing exclusivity period in the EU for certain orphan medicines. Depending on what changes the FDA and the EC may make to their orphan drug regulations and policies, our business could be adversely impacted.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received regenerative medicine advanced therapy (“RMAT”) designation by the FDA for NTLA-2002 for the treatment of HAE, and may in the future seek such designation for some of our product candidates, but such designation may not actually lead to a faster development or regulatory review or approval process and we may be unable to obtain or maintain the benefits associated with such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received the RMAT designation from the FDA for NTLA-2002 for the treatment of HAE. A product candidate is eligible for RMAT designation if: (1) it is a cell therapy, therapeutic tissue engineering product, human cell or tissue product, or a combination product using any such therapies or products;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A BLA for a product candidate with RMAT designation may be eligible for priority review or accelerated approval through (1) surrogate or intermediate endpoints reasonably likely to predict long-term clinical benefit or (2) reliance upon data obtained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qualifies for RMAT designation, the FDA may later decide that the product candidate no longer meets the conditions for qualification.</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product candidates in other jurisdictions.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approves a product candidate, comparable regulatory authorities in foreign jurisdictions must also authorize the marketing and sale of the product candidate in those countries. Approval procedures vary among jurisdictions and can involve requirements and review periods different from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sold in that jurisdiction. In some cases, the price that we are allowed to charge for our products is also subject to approval or to other legal restrictions.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for us and could delay or prevent the introduction of our products in certain countries. If we fail to comply with the relevant regulatory requirements or to receive applicable marketing approvals, our target markets will be reduced and our ability to realize the full market potential of our product candidates will be harmed.</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Ongoing Regulatory Obligations</w:t>
      </w:r>
    </w:p>
    <w:p>
      <w:pPr>
        <w:pStyle w:val="TextBody"/>
        <w:bidi w:val="0"/>
        <w:spacing w:before="120" w:after="283"/>
        <w:jc w:val="both"/>
        <w:rPr>
          <w:rFonts w:ascii="Times New Roman" w:hAnsi="Times New Roman"/>
          <w:sz w:val="20"/>
        </w:rPr>
      </w:pPr>
      <w:r>
        <w:rPr>
          <w:rFonts w:ascii="Times New Roman" w:hAnsi="Times New Roman"/>
          <w:b/>
          <w:i/>
          <w:color w:val="000000"/>
          <w:sz w:val="20"/>
        </w:rPr>
        <w:t>Even if we receive regulatory approval of any product candidates or therapies,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product candidates are approved, they may be subject to ongoing regulatory requirements for manufacturing, labeling, packaging, distribution, storage, advertising, promotion, sampling, record-keeping, and submission of safety and efficacy data, and other post-market information and potential obligations (such as post-marketing studies), including both federal and state requirements in the U.S. and requirements of comparable foreign regulatory authorities. In addition, we will be subject to continued compliance with current good manufacturing practice (“cGMP”) and GCP, and in certain cases, current good tissue practice (“cGTP”), requirements for any clinical trials that we conduct post-approval.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as applicable, including ensuring that quality control and manufacturing procedures conform to cGMP and, in certain cases, cGTP requirements, and applicable product tracking and tracing requirements. As such, we and our CMOs will be subject to continual review and inspections to assess compliance with cGMP and adherence to commitments made in any BLA, other marketing applications,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For example, the FDA or other regulatory agencies may also require a REMS or similar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their respective legal or regulatory requirements including submissions of safety and other post-marketing information and reports and registration.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or other regulatory agencies may seek to impose consent decrees, withdraw approval or prohibit the export or import of a product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 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clinical trials or the market, or voluntary or mandatory 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delays and supply disruptions until issues identified by regulatory inspections are remediated;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refusal by the FDA or the relevant regulatory agency to approve pending applications or supplements to approved applications filed by us or suspension or revocation of license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U.S. market, and the relevant foreign regulatory agencies do the same in their respective jurisdictions.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If we or our collaborators are slow or unable to adapt to changes in existing requirements or the adoption of new requirements or policies, or if we or our collaborators are not able to maintain regulatory compliance, we or our collaborators may lose any marketing approval that we or our collaborators may have obtained, which would adversely affect our business, prospects and ability to achieve or sustain profitability.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independent contractors, clinical investigators, CMOs, CROs, consultants, collaborators, commercial partners and vendors may engage in misconduct or other improper activities, including noncompliance with regulatory standards and requirements, which could have a material adverse effect on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non-compliance, fraud, misconduct or other illegal activity by our employees, independent contractors, clinical investigators, CMOs, CROs, consultants, collaborators, commercial partners and vendors. Misconduct by these parties could include intentional, reckless and/or negligent conduct that fails to: comply with federal and state laws and those of other applicable jurisdictions; provide true, complete and accurate information to the FDA and other regulatory bodies in the U.S. or outside the U.S.; comply with manufacturing standards; comply with federal and state data privacy, security, fraud and abuse and other healthcare laws and regulations in the U.S. and similar foreign privacy or fraudulent misconduct laws; or report financial information or data accurately; or disclose unauthorized activities to us. If we obtain FDA approval of any of our product candidates and begin commercializing those products in the U.S., our potential exposure under such laws will increase significantly, and our costs associated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compliance with such laws are also likely to increase. These laws may impact, among other things, our current activities with clinical investigators and research patients, as well as proposed and future sales, marketing and education programs. In particular, the promotion, sales and marketing of healthcare products and services, as well as certain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including promotion and marketing of off-label uses of our products, structuring and commission(s), certain customer incentive programs and other business arrangements generally.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exit of the United Kingdom from the EU may result in an increased regulatory burden of conducting business in Europe.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U.K.’s withdrawal from the EU, or Brexit, became effective on January 31, 2020. On December 24, 2020, the U.K. and EU signed an EU-U.K. Trade and Cooperation Agreement (“TCA”), which became provisionally applicable on January 1, 2021 and has been formally applicable since May 1, 2021. The TCA includes specific provisions concerning pharmaceuticals, which include the mutual recognition of cGMP, inspections of manufacturing facilities for medicinal products and cGMP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The regulatory regime in Great Britain therefore currently aligns for the most part with EU regulations; however, it is possible that these regimes will diverge more significantly in the future now that Great Britain’s regulatory system is independent from the EU and the TCA does not provide for mutual recognition of U.K. and EU pharmaceutical legislation.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instance, the new Clinical Trials Regulation which became effective in the EU on January 31, 2022 and provides for a streamlined clinical trial application and assessment procedure covering multiple EU Member States has not been implemented into U.K. law, and a separate application must be submitted for clinical trial authorization in the U.K. In addition, Great Britain is no longer covered by the centralized procedure for obtaining European Economic Area (“EEA”)-wide marketing authorizations from the EMA for medicinal products and a separate process for authorization of drug products is required in Great Britain. On January 1, 2024, a new international recognition framework was put in place in the U.K. (known as the International Recognition Procedure, or IRP), whereby the MHRA will have regard to decisions made by certain foreign regulators, including the EMA and the competent authorities of the EU Member States. Under this procedure, the MHRA will take into account the decision-making of such foreign regulators and will conduct a targeted assessment of the applications submitted through the IRP, but will retain the authority to reject applications if the evidence provided is considered insufficiently robust. Any delay in obtaining, or an inability to obtain, any regulatory approvals, as a result of Brexit or otherwise, would delay or prevent us from commercializing our current or future product candidates in the U.K. and could restrict our ability to generate revenue from that market.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many of our existing or potential collaborators, clinical investigators, CMOs, CROs, consultants or vendors are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as amended by the Health Information Technology for Economic and Clinical Health Act of 2009 (“HITECH”), or by comparable laws in other jurisdictions. Depending on the facts and circumstances, we could be subject to civil, criminal, and administrative penalties if we knowingly obtain, use, or disclose individually identifiable health information maintained by a covered entity in a manner that is not authorized or permitted by laws or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U.S., both state and federal,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existing or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or our collaborators, clinical investigators, CMOs, CROs, consultants or vendors, fail to comply with environmental, health and safety, and laboratory animal welfare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many of our existing or potential collaborators, clinical investigators, CMOs, CROs, consultants or vendors are subject to numerous federal, state and local environmental, health and safety, and laboratory animal welfare laws and regulations. These legal requirements include those governing laboratory procedures and the handling, use, storage, treatment and disposal of hazardous materials and wastes, as well as those which regulate the care and use of animals in research. Our operations, and those of our collaborators, clinical investigators, CMOs, CROs, consultants or vendors, acting on our behalf, may involve research using research animals and the use of hazardous and flammable materials, including chemicals and biological materials. Our operations, and those of our collaborators, clinical investigators, CMOs, CROs, consultants or vendors, acting on our behalf, also may produce hazardous waste products. We generally anticipate contracting with third parties for the disposal of these materials and waste.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maintain insurance for environmental liability or toxic tort claims that may be asserted against us in connection with our storage or disposal of biological, hazardous or radioactive materials.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and laboratory animal welfare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labor and employment laws and regulations could subject us to legal liability and costs, including fines or penalties, as well as reputational damage that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federal, state and local laws and regulations relating to the recruiting, hiring, compensation and treatment of employees and contractors. These laws and regulations cover financial compensation (including wage and hour standards), benefits (including insurance and 401(k) plans), discrimination, workplace safety and health, and workers’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Commonwealth of Massachusetts, where most of our employees are based, also has laws that expand on federal laws or create additional rights for employees or obligations for employers. For example, on July 1, 2018, the Massachusetts Equal Pay Act went into effect, which added protections employers must comply with regarding pay equity for “comparable work”. There is currently uncertainty regarding the exact scope of these new legal limits and such uncertainty may remain for the foreseeable future. We may face increased employment and legal costs to ensure we are complying with this law. In addition, on October 1, 2018, a new Massachusetts non-compete law went into effect, placing additional restrictions on employers seeking to enter into non-competition agreements with employees. Further, other jurisdictions in which our employees may work limit enforcement of non-competition agreements. For example, in California non-competition agreements with employees are generally unenforceable after termination of employment and Illinois contains strict laws affecting the enforcement of non-competition agreements. These non-compete laws may negatively impact our ability to prevent employees from working with direct or indirect competitors in the future and may affect our ability to retain key talent in a competitive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comply with these and other related laws could expose us to civil and, in some cases, criminal liability, including fines and penalties. Further, government or employee claims that we have violated any of these laws, even if ultimately disproven, could result in increased expense and management distraction, as well as have an adverse reputational impact on 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Our Reliance on Collaboration Partners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technological advancements and any potential for revenue may be derived in part from our collaborations, including, for example, with Regeneron, and if the collaboration or co-development agreements related to a material collaboration were to be terminated or materially altered in an adverse manner,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strategic collaborations to advance our technology and co-develop products that we plan to co-commercialize. If our collaboration partner in a material collaboration fails to develop, obtain regulatory approval for or ultimately commercialize any product candidate from the development programs governed by the respective collaboration agreements, including, e.g., a co-development or co-commercialization agreement, or breaches or terminates our collaboration with it, our business, financial condition, results of operations and prospects could be harmed. In addition, any material alteration, in an adverse manner, of any material collaboration agreement, or dispute or litigation proceedings we may have related to a material collaboration in the future could delay development programs, create uncertainty as to ownership of or access to intellectual property rights, distract management from other business activities and generate substantial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within Note 9 “Collaborations and Other Arrangements” of this Annual Report on Form 10-K, we have entered into co-development and co-promotion arrangements with Regeneron. Regeneron may change its strategic focus or pursue alternative technologies in a manner that results in reduced, delayed or no revenue to us under these arrangements. For example, Regeneron has a variety of marketed products and product candidates either by itself or with other companies, including some of our competitors. In addition, the corporate objectives of our collaborators, such as Regeneron, may not be consistent with our best interests. Regeneron may change its position regarding its participation and funding of our joint activities, which may impact our ability to successfully pursue those programs.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existing and future collaborations will be important to our business. If we are unable to maintain any of these collaborations, or if these collaborations are not successful, our business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limited capabilities for product development and do not yet have any capability for sales, marketing or distribution. Accordingly, we have entered, and plan to enter, into collaborations with other companies, including our therapeutic-focused collaboration agreements with Regeneron, which we believe can provide such capabilities. For example, in October 2023, we announced an expanded research collaboration with Regeneron to develop therapies for the treatment of neurological and muscular diseases. These current and future therapeutic-focused collaborations could provide us with important technologies and/or funding for our programs and technology. Our existing and future therapeutic collaborations may have a number of risks, including that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significant discretion in determining the efforts and resources that they will apply;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perform their obligations as expected;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dispute the amounts of payments owed;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pursue development and commercialization of any product candidates that achieve regulatory approval or may elect not to continue or renew development or commercialization programs or license arrangements based on clinical trial results, changes in their strategic focus or available funding, or external factors, such as a strategic transaction that may divert resources or create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delay, insufficiently fund, stop, initiate new or repeat clinical trials, reformulate a product candidate for clinical testing, or abandon a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could develop independently, or with third parties, products that compete directly or indirectly with our products and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view product candidates discovered in our collaborations as competitive with their own product candidates or products, which may cause collaborators to cease to devote resources to the development or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dispute ownership or rights in jointly developed technologies or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fail to comply with applicable legal and regulatory requirements regarding the development, manufacture, sale, distribution or marketing of a product candidate or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sales, marketing, manufacturing and distribution rights to our product candidates may not commit sufficient resources to the product’s sale, marketing, manufacturing and distribution;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disagree with us about material issues, including proprietary rights, contract interpretation, payment obligations or the preferred course of discovery, development, sales or marketing, which might cause delays or terminations of the research, development or commercialization of product candidates, lead to additional and burdensome responsibilities for us with respect to product candidates, or result in litigation or arbitration, any of which would be time-consuming and expensive;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properly maintain or defend their or our relevant intellectual property rights or may use our proprietary information or sublicensed intellectual property rights in such a way as to invite litigation that could jeopardize or invalidate our intellectual property or proprietary information or expose us to potential litigation and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infringe the intellectual property rights of third parties, which may expose us to litigation and potential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could become involved in a business combination or cessation that could cause them to deemphasize or terminate the development or commercialization of any product candidate licensed to it by us;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terminate our collaborations, which could require us to raise additional capital to develop or commercialize the applicable product candidates, or lose access to the collaborator’s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therapeutic collaborations do not result in the successful discovery, development and commercialization of products or if a collaborator terminates its agreement with us, we may not receive any future research funding or milestone or royalty payments under the collaboration. All of the risks relating to product discovery, development, regulatory approval and commercialization summarized and described in this report also apply to the activities of our therapeutic collaborators.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part of our business strategy, we may pursue acquisitions or licenses of assets or acquisitions of businesses, or disposition of assets or technologies. For example, in February 2022, we announced the acquisition of Rewrite in order to add additional capabilities to our growing platform, which acquisition included an exclusive license from the Regents of the University of California under certain patents related to DNA writing technology. We also may pursue strategic alliances and joint ventures that leverage our core technology and industry experience. If we decide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collaborate with other companies to discover, develop and commercialize therapeutic products, we face significant competition in seeking appropriate collaborators because, for example, third parties have comparable rights to the CRISPR/Cas9 system or similar genome editing technologies. In addition, we have limited experience with acquiring, disposing of or licensing assets or forming strategic alliances and joint ventures.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delay or abandon discovery efforts or development programs, and the development, manufacture or commercialization of a product candidate, or increase our expenditures and undertake these activities at our own expense. If we elect to fund and undertake discovery, development, manufacturing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discovery, development, manufacturing and commercialization activities, we may not be able to further develop our product candidates, manufacture the product candidates, bring them to market or continue to develop our technology and our business may be materially and adversely affected. Furthermore, we may not identify or complete these transactions in a timely manner, on a cost-effective basis, or at all, and we may not realize the anticipated benefits of any acquisition, license, strategic alliance or joint venture.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AvenCell</w:t>
      </w:r>
    </w:p>
    <w:p>
      <w:pPr>
        <w:pStyle w:val="TextBody"/>
        <w:bidi w:val="0"/>
        <w:spacing w:before="120" w:after="283"/>
        <w:jc w:val="both"/>
        <w:rPr>
          <w:rFonts w:ascii="Times New Roman" w:hAnsi="Times New Roman"/>
          <w:sz w:val="20"/>
        </w:rPr>
      </w:pPr>
      <w:r>
        <w:rPr>
          <w:rFonts w:ascii="Times New Roman" w:hAnsi="Times New Roman"/>
          <w:b/>
          <w:i/>
          <w:color w:val="000000"/>
          <w:sz w:val="20"/>
        </w:rPr>
        <w:t>We launched a new company, AvenCell,</w:t>
      </w:r>
      <w:r>
        <w:rPr>
          <w:rFonts w:ascii="Times New Roman" w:hAnsi="Times New Roman"/>
          <w:color w:val="000000"/>
          <w:sz w:val="20"/>
        </w:rPr>
        <w:t xml:space="preserve"> </w:t>
      </w:r>
      <w:r>
        <w:rPr>
          <w:rFonts w:ascii="Times New Roman" w:hAnsi="Times New Roman"/>
          <w:b/>
          <w:i/>
          <w:color w:val="000000"/>
          <w:sz w:val="20"/>
        </w:rPr>
        <w:t>alongside Cellex Cell Professionals GmbH and Blackstone Life Sciences Advisors L.L.C. We are exposed to risks associated with the launch of the new company and may not realize the advantages we expect from 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2021, we launched AvenCell Therapeutics, Inc. (“AvenCell”) alongside Cellex Cell Professionals GmbH (“Cellex”) and Blackstone Life Sciences Advisors L.L.C. (“BXLS”). AvenCell acquired GEMoaB GmbH (“GEMoaB”), a wholly owned subsidiary of Cellex. AvenCell combines GEMoaB’s clinical-stage universal CAR-T program and platforms with our allogeneic universal cell engineering platform, which we licensed to AvenCell pursuant to a license and collaboration agreement with AvenCell (the “AvenCell License”). Under the AvenCell License, we will collaborate with AvenCell to develop at least seven allogeneic universal CAR-T cell therapies. AvenCell may not be successful in the timeframe we expect, or at all. We, BXLS, and Cellex (together with certain related entities) each have equal ownership of AvenCell and, therefore, share control over portions of the operations of AvenCell. Other than our ownership interest in AvenCell and the potential to co-develop with AvenCell an allogeneic universal CAR-T cell therapy, we do not receive any financial benefit from AvenCell. Because of our minority ownership in AvenCell, we have a lesser degree of control over its business operations than our own, thereby potentially increasing the financial, legal, operational and compliance risks Intellia may face in the future. In addition, we may be dependent on controlling shareholders or management of AvenCell who may have business interests, strategies or goals that are inconsistent with ours. These risks include the possibility that AvenCell, BXLS or Cellex has economic or business interests or goals that are or become inconsistent with our economic or business interests or goals; is in a position to take action contrary to our instructions, requests, policies or objectives; subjects us to unexpected liabilities or risks; takes actions that reduce our return on investment, including reducing or eliminating the value of our ownership in AvenCell and related financial benefits; acts in a manner that compromises our key licensed rights, or important IP or other rights that we own or license; or takes actions that harm our reputation or restrict our ability to run our business. Furthermore, as a result of our ownership in AvenCell, we are required to include AvenCell’s financial information in our consolidated financial results. This could subject us to increased risk in accurately representing and incorporating AvenCell’s financial statements into our own, which could result in delayed filings with the SEC and the finding of a material or significant weakness, among others. This could result in harmful consequences to our business, including an adverse reaction in the financial markets due to a loss of confidence in the reliability of our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Reliance on Other Third Parties</w:t>
      </w:r>
    </w:p>
    <w:p>
      <w:pPr>
        <w:pStyle w:val="TextBody"/>
        <w:bidi w:val="0"/>
        <w:spacing w:before="120" w:after="283"/>
        <w:jc w:val="both"/>
        <w:rPr>
          <w:rFonts w:ascii="Times New Roman" w:hAnsi="Times New Roman"/>
          <w:sz w:val="20"/>
        </w:rPr>
      </w:pPr>
      <w:r>
        <w:rPr>
          <w:rFonts w:ascii="Times New Roman" w:hAnsi="Times New Roman"/>
          <w:b/>
          <w:i/>
          <w:color w:val="000000"/>
          <w:sz w:val="20"/>
        </w:rPr>
        <w:t>We currently rely, and expect to continue to rely in part on, third parties to manufacture our clinical product supplies, and we intend to rely on third parties for at least a portion of the manufacturing process of our product candidates, if approved. Our business could be harmed if the third parties fail to provide us with sufficient quantities of product inputs or fail to do so at acceptable quality levels or prices or fail to meet legal and regulatory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 the early stages of establishing our own manufacturing facility to provide preclinical, clinical and commercial supply of our product candidates and must rely on outside vendors, such as CMOs, to manufacture supplies and process our product candidates. We have only recently begun to manufacture and process product candidate components on a clinical scale and may not be able to successfully complete or continue to do so. We will make changes to optimize the manufacturing process, and cannot be sure that even minor changes in the process will result in therapies that are safe, pure and potent. We are also unable to predict how changing global economic conditions or ongoing geopolitical conflicts and related global economic sanctions, or potential global health concerns will affect our third party suppliers and manufacturers. Any negative impact of such matters on our third party suppliers and manufacturers may also have an adverse impact on our results of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facility that we may have in the future and the facilities used by our CMOs to manufacture our product candidates must be inspected and approved by, as applicable, the FDA or other foreign regulatory agencies after we apply for approval or marketing authorization. For the foreseeable future, we will be dependent on our CMO partners to properly manufacture adequate supply of our product candidates and components in a timely manner and in accordance with our specification. We also will depend on these entities for compliance with relevant legal and regulatory requirements for manufacture of our product candidates, including cGMP, and in certain cases, cGTP requirements. If we or our CMOs cannot successfully manufacture material that conforms to our specifications and the strict relevant regulatory requirements, we and our CMOs will not be able to secure or maintain regulatory approval for our respective manufacturing facilities. In addition, we have no control over the ability of our CMOs to maintain adequate quality control, quality assurance and qualified personnel, particularly as we increase the scale of our manufactured material. If the FDA or relevant foreign regulatory authority does not approve these facilities for the manufacture of our product candidates or if it withdraws any such approval, we may need to find alternative manufacturing facilities, which would significantly impact our ability to develop, obtain regulatory approval for or market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 candidates may be unique to the original CMO and we may have difficulty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rely, and expect to continue to rely on, third parties to conduct our preclinical studies and clinical trials. If these third parties do not successfully carry out their contractual duties or meet expected deadlines or comply with legal and regulatory requirements, we may not be able to obtain regulatory approval of or commercialize any potential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depend, and expect to continue to depend, upon third parties, including independent investigators, to conduct our clinical trials under agreements with universities, medical institutions, CROs, strategic partners and others. We expect to have to negotiate budgets and contracts with CROs, trial sites and other service and goods providers, which may result in delays to our development timelines and increased costs. For example, in February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2023, the U.S. Department of Justice investigated the research practices of a significant CRO with respect to their non-human primate imports. Issues of that nature may affect our ability to conduct preclinical studies that are required to advance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rely, and expect to continue to rely heavily, on third parties over the course of our preclinical studies and clinical trials, and, as a result, will have limited control over the clinical investigators and other service providers, and limited visibility into their day-to-day activities, including with respect to their compliance with the approved clinical protocol and other legal, regulatory and scientific standards. Nevertheless, we are responsible for ensuring that each of our studies is conducted in accordance with the applicable protocol and legal, regulatory and scientific standards, and our reliance on third parties does not relieve us of our legal responsibilities. We and these third parties are required to comply with GCP, which are regulations and guidelines enforced by the FDA, EMA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relevant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product produced under cGMP, and in certain cases, cGTP, requirements and may require a large number of test articles for studies involving a large number of test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or these third parties’ failure to comply with these requirements or to recruit a sufficient number of patients may require us to delay, suspend, repeat or terminate clinical trials, which would delay the regulatory approval process. Moreover, our business may be implicated if any of these third parties violates applicable federal, state or local, as well as foreign, laws and regulations, such as the fraud and abuse or false claims laws and regulations or privacy and security laws. In jurisdictions such as the U.K. and EU, penalties for violations of privacy laws and other regulations can be financially significant. Further, if any of our CROs, clinical investigators or others involved in our clinical trials fail to comply with such laws and regulations, we could be held responsible for its actions or omissions and be negatively impacted. In the event of non-compliance with the U.K.’s Data Protection Act 2018 and the U.K. General Data Protection Regulation (“U.K. GDPR”) (such laws collectively being described as “European Data Protection Law”), we could be subject to substantial fines and other penalties, including fines of up to 10,000,000 Euros or up to 2% of our total worldwide annual turnover for certain comparatively minor offenses, or up to 20,000,000 Euros or up to 4% of our total worldwide annual turnover for more serious offenses.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third parties conducting our current or future clinical trials will not be our employees and, except for remedies that may be available to us under our agreements with such third parties, we cannot control whether they devote sufficient time and resources to our ongoing preclinical, clinical, and nonclinical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fail to meet their contractual obligations, legal requirements or expected deadlines, need to be replaced, or generate inaccurate or substandard clinical data by failing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resurgence of the COVID-19 pandemic (or other future public health concern) and measures taken in response by U.S. or other governments may have a significant impact on our CROs, clinical sites and other service and goods providers, which may affect our ability to initiate and complete preclinical studies and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relationships with these third party CROs, clinical sites or other third parties terminate, we may not be able to enter into arrangements with alternative CROs, clinical sites or other third parties or to do so on commercially reasonable terms. Switching or adding additional CROs, clinical sites or other providers involves additional cost and requires management time and focus. In addition, the transition to a new CRO may result in delays, which can materially impact our ability to meet our desired clinical development timelines. Though we carefully manage our relationships with these parties, there can be no assurance that we will not encounter similar challenges or delays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future or that these delays or challenges will not have a material adverse impact on our business, financial condition and prospects.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Data and Privacy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internal computer systems, or those of our collaborators or other contractors or consultants, may fail or suffer security breaches, which could result in a material disruption of our operations and development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collect, store, and transmit large amounts of confidential information (including but not limited to intellectual property, such as trade secrets, proprietary business information, and personal information). It is critical that we do so in a secure manner to maintain the confidentiality and integrity of such confidential information. We have also outsourced elements of our operations to third parties, and as a result we manage a number of third party vendors who may or could have access to our confidential information. Our third party collaborators, vendors and service providers (including our CMOs and CROs) also have access to large amounts of confidential information relating to our operations, including our research and development efforts. The size and complexity of our information technology systems, and those of third party vendors, service providers and collaborators, and the large amounts of confidential information stored on those systems, make such systems potentially vulnerable to service interruptions or systems failures, or to security breaches from inadvertent or intentional actions by our employees, third party vendors, service providers, collaborators, and/or business partners, or from cyber-attacks by malicious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such risks, the adoption of new technologies may also increase our exposure to cybersecurity breaches and failures. Further, having a significant portion of our workforce working from home for extended periods of time puts us at greater risk of cybersecurity attacks. Cyber-attacks are increasing in their frequency, sophistication, and intensity, and have become increasingly difficult to detect. Cyber-attacks could include the deployment of harmful malware, denial-of-service attacks, attacks enhanced or facilitated by artificial intelligence (“AI”), social engineering, “phishing” scams, ransomware, network security breaches, and other means to affect service reliability and threaten the confidentiality, integrity, and availability of information. Certain of our service providers have been subject to such attacks in the past, and while no such attacks have resulted in a material impact to our business, our company or our service providers may be materially impacted by such attacks in the future. Significant disruptions to our information technology systems could adversely affect our business operations and/or result in the loss, misappropriation, and/or unauthorized access, use, or disclosure of, or the prevention of access to, confidential information (including but not limited to trade secrets or other intellectual property, proprietary business information, and personal information), and could result in financial, legal, business, and reputational harm to us and would adversely affect our operations, including our discovery and research and development programs. Any security breaches that lead to unauthorized access, use, or disclosure of personal information, including personal information regarding our employees or current or future clinical trial participants, could harm our reputation, require us to comply with onerous legal requirements under laws and regulations that protect the privacy and security of personal information, and subject us to significant liability including fines, litigation, and loss of current and future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the loss of preclinical or clinical trial data from completed or future preclinical or clinical trials, respectively,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Security breaches, insider threats and other inappropriate access can be difficult to detect, and any delay in identifying them may lead to increased harm of the types summarized and described above. While we have implemented security measures to protect our information technology systems and infrastructure, there is no assurance that such measures will prevent service interruptions or security breaches or incidents that could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upon a variety of internet service providers, third party web hosting facilities, cloud computing platform providers and software as a service (“SaaS”) vendors to support our business. Failure to maintain the security, confidentiality, accessibility or integrity of data stored on such systems could result in interruptions in our operations, damage our reputation in the market, increase our service costs, cause us to incur substantial costs, subject us to liability for damages and/or fines, and divert our resources from other tasks, any one of which could materially adversely affect our business, financial condition, results of operations and prospects. If our security measures or those of our third party data center hosting facilities, cloud computing platform providers, SaaS vendors or third party service partners, are breached, and unauthorized access is obtained to our data or our information technology systems, we may incur significant legal and financial exposure and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do not have control over the operations of the facilities of our cloud service providers, SaaS vendors or our third party web hosting providers, and they also may be vulnerable to damage or interruption from natural disasters, hardware or software outages, cybersecurity attacks, terrorist attacks and similar events or acts of misconduct. In addition, any changes in these providers’ service levels may adversely affect our ability to meet our requirements and operate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Social media platforms and artificial intelligence-based platforms present new risks and challenges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social media continues to expand, it also presents us with new risks and challenges. Social media is increasingly being used to communicate information about us,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applicable regulations, we could incur liability, face restrictive regulatory actions or incur other harm to our business including quick and irreversible damage to our reputation, brand image and goodwill. While we have undertaken measures to restrict the use of public AI platforms, their use by people, including our vendors, suppliers and contractors, with access to our proprietary and confidential information, including trade secrets, may continue to increase and may lead to the release of such information, which may impact our ability to realize the benefit of our intellectual property.</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Competition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biotechnology and pharmaceutical industries are extremely competitive in the race to develop new products. While we believe we have significant competitive advantages with our industry-leading expertise in genome editing, clinical development expertise and dominant IP position, we currently face and will continue to face competition for our development programs from companies that use genome editing or gene therapy development platforms and from companies focused on more traditional therapeutic modalities such as small molecules and antibodies. The competition is likely to come from multiple sources, including large and specialty pharmaceutical and biotechnology companies, academic research institutions, government agencies and public and private research institutions. Many of these competitors may have access to greater capital and resources than us. For any products that we may ultimately commercialize, not only will we compete with any existing therapies and those therapies currently in development, but we will also have to compete with new therapies that may become available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to our NTLA-2001 program, we are aware of other companies that are currently commercializing or developing products and therapies used to treat ATTR amyloidosis, including Alnylam Pharmaceuticals, Inc., AstraZeneca Pharmaceuticals LP, BridgeBio Pharma Inc., Ionis Pharmaceuticals, Inc., Metagenomi Technologies, LLC, Novo Nordisk A/S and Pfizer,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Specific to our NTLA-2002 program, we are aware of other companies that are currently commercializing or developing products used to treat HAE, including ADARx Therapeutics, Inc., Astria Therapeutics Inc., BioCryst Pharmaceuticals Inc., BioMarin Pharmaceuticals Inc., CSL Limited, Ionis Pharmaceuticals, Inc., KalVista Pharmaceuticals, Inc., Pharming Group N.V., Pharvaris N.V. and Takeda Pharmaceutical Company Limited.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in our efforts to provide other genetic therapies to patients can be grouped into at least three sets based on their product discovery platforms: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platform and product foci are on the development of therapies using CRISPR-based technologies. Genome editing companies focused on CRISPR-based technologies include: Beam Therapeutics Inc., Caribou Biosciences, Inc., CRISPR Therapeutics AG, Editas Medicine, Inc., Metagenomi Technologies, LLC, Prime Medicine, Inc., ToolGen, Inc. and Verve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also companies developing therapies using additional genome editing technologies, which include Allogene Therapeutics, Inc., bluebird bio, Inc., Cellectis S.A., Homology Medicines, Inc., Poseida Therapeutics, Inc., Precision Biosciences, Inc., Prime Medicine, Inc. and Sangamo Therapeutics, Inc.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also aware of companies developing therapies in various areas related to our specific research and development programs. For </w:t>
      </w:r>
      <w:r>
        <w:rPr>
          <w:rFonts w:ascii="Times New Roman" w:hAnsi="Times New Roman"/>
          <w:i/>
          <w:color w:val="000000"/>
          <w:sz w:val="20"/>
        </w:rPr>
        <w:t>ex vivo</w:t>
      </w:r>
      <w:r>
        <w:rPr>
          <w:rFonts w:ascii="Times New Roman" w:hAnsi="Times New Roman"/>
          <w:color w:val="000000"/>
          <w:sz w:val="20"/>
        </w:rPr>
        <w:t xml:space="preserve">, these companies include Allogene Therapeutics, Inc., Cellectis S.A., CRISPR Therapeutics AG and Precision BioSciences, Inc. For </w:t>
      </w:r>
      <w:r>
        <w:rPr>
          <w:rFonts w:ascii="Times New Roman" w:hAnsi="Times New Roman"/>
          <w:i/>
          <w:color w:val="000000"/>
          <w:sz w:val="20"/>
        </w:rPr>
        <w:t>in vivo</w:t>
      </w:r>
      <w:r>
        <w:rPr>
          <w:rFonts w:ascii="Times New Roman" w:hAnsi="Times New Roman"/>
          <w:color w:val="000000"/>
          <w:sz w:val="20"/>
        </w:rPr>
        <w:t>, these companies include CRISPR Therapeutics AG, Editas Medicine, Inc., Excision Biotherapeutics, Inc., Locus Biosciences, Inc. Metagenomi Technologies, LLC, Precision Biosciences, Inc. and Verve Therapeutics Inc.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competitors will also include companies that are or will be developing other genome editing methods as well as small molecules, biologics, </w:t>
      </w:r>
      <w:r>
        <w:rPr>
          <w:rFonts w:ascii="Times New Roman" w:hAnsi="Times New Roman"/>
          <w:i/>
          <w:color w:val="000000"/>
          <w:sz w:val="20"/>
        </w:rPr>
        <w:t>in vivo</w:t>
      </w:r>
      <w:r>
        <w:rPr>
          <w:rFonts w:ascii="Times New Roman" w:hAnsi="Times New Roman"/>
          <w:color w:val="000000"/>
          <w:sz w:val="20"/>
        </w:rPr>
        <w:t xml:space="preserve"> gene therapies, engineered cell therapies and nucleic acid-based therapies for the same indications that we are targeting with our CRISPR/Cas9-based therapeutics.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advances in gene therapy, engineered cell therapies or genome editing technology made by a competitor may be used to develop therapies that could compete against any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these competitors have substantially greater research and development capabilities and financial, scientific, technical, intellectual property, manufacturing, marketing, distribution and other resources than we do, and we may not be able to successfully compete with them.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successful in selecting and developing any product candidates, in order to compete successfully we may need to be first-to-market or demonstrate that our CRISPR/Cas9-based products are superior to therapies based on the same or different treatment methods. If we are not first-to-market or are unable to demonstrate such superiority, any products for which we are able to obtain approval may not be commercially successful. Furthermore, in certain jurisdictions, if a competitor has orphan drug status for a product and if our product candidate is determined to be contained within the scope of a competitor’s orphan drug exclusivity, then approval of our product for that indication or disease could potentially be blocked, for example, for up to seven years in the U.S. and 10 years in the EU.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Commercialization</w:t>
      </w:r>
    </w:p>
    <w:p>
      <w:pPr>
        <w:pStyle w:val="TextBody"/>
        <w:bidi w:val="0"/>
        <w:spacing w:before="120" w:after="283"/>
        <w:jc w:val="both"/>
        <w:rPr>
          <w:rFonts w:ascii="Times New Roman" w:hAnsi="Times New Roman"/>
          <w:sz w:val="20"/>
        </w:rPr>
      </w:pPr>
      <w:r>
        <w:rPr>
          <w:rFonts w:ascii="Times New Roman" w:hAnsi="Times New Roman"/>
          <w:b/>
          <w:i/>
          <w:color w:val="000000"/>
          <w:sz w:val="20"/>
        </w:rPr>
        <w:t>If, in the future, we are unable to establish sales, marketing and distribution capabilities or enter into agreements with third parties to sell, market and distribute products based on our technologies, we may not be successful in commercializing our products if and when any product candidates or therapies are approved and we may not be able to generate any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currently have a sales, marketing or distribution infrastructure and, as a company, have no experience in the sale, marketing or distribution of therapeutic products. To achieve commercial success for any approved product candidate for which we retain sales and marketing responsibilities, we must build our sales, marketing, managerial and other non-technical capabilities or make arrangements with third parties to perform these services. There are risks involved with both establishing our own sales and marketing capabilities and entering into arrangements with third parties to perform these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Factors that may inhibit our efforts to commercialize our product candidates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of sales personnel to obtain access to physicians or persuade adequate numbers of physicians to prescribe any future product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lack of complementary treatments to be offered by sales personnel, which may put us at a competitive disadvantage relative to companies with more extensive product lines;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location of patients in need of our product candidates and the treating physicians who may prescribe the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unforeseen costs and expenses, as well as legal and regulatory requirements, associated with creating and operating a sales and marketing organization.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enter into arrangements with third parties to perform sales, marketing and distribution services, we would likely have lower product revenue or profitability than if we ourselves were to market and sell our product candidates. In addition, we may be unable to enter into sales and marketing arrangements with third parties, or into arrangements with terms that are favorable to us. We likely will have little control over such third parties and any of them may fail to devote the necessary resources and attention to sell and market our product candidates effectively. If we do not establish sales, marketing and distribution capabilities successfully, either on our own or through third parties, we may not be successful in commercializing our product candidates, and our business, results of operations, financial condition and prospects will be materially adversely affected.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Employee Matters and Managing Our Workforce</w:t>
      </w:r>
    </w:p>
    <w:p>
      <w:pPr>
        <w:pStyle w:val="TextBody"/>
        <w:bidi w:val="0"/>
        <w:spacing w:before="120" w:after="283"/>
        <w:jc w:val="both"/>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the research and development, clinical, manufacturing, commercialization, legal, financial and business development expertise of John M. Leonard, M.D., our President and Chief Executive Officer, James Basta, our Executive Vice President, General Counsel and Corporate Secretary, Eliana Clark, our Executive Vice President and Chief Technical Officer, Glenn Goddard, our Executive Vice President, Chief Financial Officer and Treasurer, Derek Hicks, our Executive Vice President and Chief Business Officer, David Lebwohl, our Executive Vice President and Chief Medical Officer, and Laura Sepp-Lorenzino, our Executive Vice President and Chief Scientific Officer, as well as the other principal members of our management, scientific and clinical teams. Although we have entered into employment arrangements with our executive officers, each of them may terminate their employment with us at any time. We do not maintain “key person” insurance for any of our executives or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Execution of our business plans and strategies requires capable personnel with specialized skills and expertise in the research, development, manufacturing and commercialization of biopharmaceutical products, and, as a result, we may encounter difficulties in hiring or retaining capable personnel in key positions.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Recruiting and retaining qualified scientific, clinical, manufacturing and sales and marketing personnel will also be important for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using our technology. Competition to hire from this limited pool is intense, and we may be unable to hire, train, retain or motivate these key personnel on acceptable terms given the competition among numerous pharmaceutical and biotechnology companies, universities and research institutions for similar personnel. The market for qualified personnel in the biotechnology space generally, and genome editing and gene therapy fields in particular, in and around the Cambridge, Massachusetts area is especially competitive.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Further, some of the qualified personnel that we hire and recruit are not U.S. citizens, and there is uncertainty with regard to their future employment status due to the current U.S. administration’s announced intention of modifying the legal framework for non-U.S. citizens to be employed in the U.S. If we are unable to continue to attract and retain high quality personnel, our ability to pursue our growth strategy will be limited.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Healthcare</w:t>
      </w:r>
    </w:p>
    <w:p>
      <w:pPr>
        <w:pStyle w:val="TextBody"/>
        <w:bidi w:val="0"/>
        <w:spacing w:before="120" w:after="283"/>
        <w:jc w:val="both"/>
        <w:rPr>
          <w:rFonts w:ascii="Times New Roman" w:hAnsi="Times New Roman"/>
          <w:sz w:val="20"/>
        </w:rPr>
      </w:pPr>
      <w:r>
        <w:rPr>
          <w:rFonts w:ascii="Times New Roman" w:hAnsi="Times New Roman"/>
          <w:b/>
          <w:i/>
          <w:color w:val="000000"/>
          <w:sz w:val="20"/>
        </w:rPr>
        <w:t>Coverage and reimbursement may be limited or unavailable in certain market segments for our product candidates, if approved, which could make it difficult for us to sell any product candidates or therapies profitably.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success of our product candidates, if approved, depends on the availability of adequate coverage and reimbursement from third party payors, including government agencies, private health insurers and health maintenance organizations. There is significant uncertainty related to the insurance coverage and reimbursement of any newly approved product, but in particular novel genome editing and engineered cell products. All the therapeutic indications approved by the relevant authorities may not be covered or reimbursed. In addition, we cannot be sure that coverage and reimbursement will be available for, or accurately estimate the potential revenue from, our product candidates because they are novel treatments for diseases using a new technology and delivery approaches. For more information on coverage and reimbursement see the section entitled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Coverage and Reimbursement</w:t>
      </w:r>
      <w:r>
        <w:rPr>
          <w:rFonts w:ascii="Times New Roman" w:hAnsi="Times New Roman"/>
          <w:b/>
          <w:color w:val="000000"/>
          <w:sz w:val="20"/>
        </w:rPr>
        <w:t>.</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U.S. and some other jurisdictions, patients generally rely on third party payors to reimburse all or part of the costs associated with their treatment. Adequate coverage and reimbursement from governmental healthcare programs, such as Medicare and Medicaid in the U.S., and commercial payors are critical to new product acceptance.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 authorities and other third party payors, such as private health insurers and health maintenance organizations, decide which drugs and treatments they will cover and the amount of reimbursement. In the U.S.,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often follow CMS’s coverage decisions. Other jurisdictions have agencies, such as the National Institute for Health and Care Excellence in the U.K., that evaluate the use and cost-effectiveness of therapies, which impact the utilization and price of the medicine in such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U.S., no uniform policy of coverage and reimbursement for products exists among third party payors. As a result, obtaining coverage and reimbursement approval of a product from a third party payor is a time-consuming and costly process that could require us to provide supporting scientific, clinical and cost-effectiveness data for the use of our products to each potential payor, with no assurance that coverage and adequate reimbursement will be obtained from all or any of them. Even if we obtain coverage for a given product, the resulting reimbursement payment rates might be insufficient or may require co-payments that patients find unacceptably high, which may prevent us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achieving or sustaining profitability. Additionally, third party payors may not cover, or provide adequate reimbursement for, long-term follow-up evaluations required following the use of our genome editing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each country in which we seek approval to market our product candidates has unique laws and market practices regulating coverage and reimbursement for human therapeutics. Market acceptance and sales of our products in each country will depend on our ability to meet each of these jurisdiction’s requirements for coverage and reimbursement. Further, changes to the country’s existing requirements may also affect our ability to commercialize our products in the future, or achieve profitability from their sale.</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directly or indirectly, to federal and state healthcare fraud and abuse laws, false claims laws, physician payment transparency laws, health information privacy and security laws and anti-corruption laws. If we are unable to comply, or have not fully complied, with such laws or their relevant foreign counterparts, we could face substantial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sale, distribution and marketing of human therapeutics and our relationship with healthcare providers are strictly regulated by laws in the U.S. and most other jurisdictions in which we intend to seek approval for our product candidates. In addition, the collection and use of personal information, including Protected Health Information (“PHI”), is regulated by federal, state and foreign privacy, data security and data protection laws. Failure to comply with these laws could impair our ability to properly sell our product candidates in particular jurisdictions and subject us to liability from private and governmental entities. Addressing these diverse and sometimes contradictory requirements in myriad jurisdictions may necessitate that we expend significant resources on compliance efforts. Any failure to comply with these requirements may leave us exposed to possible enforcement actions and potential liability. For more information on these laws and regulations see the section 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Other Healthcare and Privacy Laws</w:t>
      </w:r>
      <w:r>
        <w:rPr>
          <w:rFonts w:ascii="Times New Roman" w:hAnsi="Times New Roman"/>
          <w:i/>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and enforcement of each of these laws is not always certain and is subject to legislative, judicial or prosecutorial changes. Further, because of the breadth of these laws, it is possible that some of our business activities could be subject to challenge under one or more of such laws. Indeed, U.S. federal and state enforcement bodies have increasingly scrutinized healthcare companies and providers interactions, which has led to a number of investigations, prosecutions, convictions and settlements in the industry. Ensuring business arrangements comply with applicable laws, as well as responding to possible investigations by government authorities, can be time- and resource-consuming and can divert the attention of our staff and resources from performing the duties required for the general operation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increasingly global nature of our business operations, including clinical development efforts, subjects us to domestic and foreign anti-bribery and anti-corruption laws and regulations, such as the Foreign Corrupt Practices Act (“FCPA”) and the U.K. Bribery Act. These activities create the risk of unauthorized payments or offers of payments that are prohibited under the FCPA, the U.K. Bribery Act or similar laws. It is our policy to implement safeguards to discourage these practices by our employees and agents. However, these safeguards may ultimately prove ineffective, and our employees, consultants, and agents may engage in conduct for which we might be held responsible. Violations of the FCPA may result in severe criminal or civil sanctions, and we may be subject to other liabilities, which could negatively affect our business, operating results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U.S. federal and state governments, as well as other jurisdictions, have myriad laws regulating the collection, storage, distribution, safeguarding and use of personal information of employees, patients, agents, and others. These different laws governing the privacy and security of health and other personal information often differ from each other in significant ways and may not have the same effective requirements, thus complicating efforts to comply with their respective provisions.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U.S., HIPAA, as amended by HITECH, imposes requirements relating to the privacy, security and transmission of PHI on certain covered healthcare providers, health plans, and healthcare clearinghouses, and their respective business associates that perform services for them that involve the use or disclosure of such information. These laws impose civil and criminal monetary penalties, and give state attorneys general the authority to file civil actions for damages or injunctions, and attorney’s fees, in federal courts to enforce the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California Consumer Privacy Act (“CCPA”) requires covered companies to provide disclosures to California consumers and afford such consumers rights with respect to their personal information, including the rights to: request deletion of their information, receive the information on record for them, know what categories of information are being maintained about them, and opt-out of certain sales of their information. The CCPA provides for civil penalties for violations, as well as a private right of action for certain data breaches that result in the loss of personal information, which may increase the likelihood of, and risks associated with, data breach litigation. The CCPA was amended by the California Privacy Rights Act (“CPRA”), which became effective on January 1, 2023. The CPRA substantially modified the CCPA, including by expanding consumers’ rights with respect to certain sensitive personal information, by establishing a state agency vested with the authority to enforce the CCPA and by creating additional obligations with respect to the processing of personal information, including regulating personal information collected about employees, applicants and retirees as well as that which is collected in a business to business capacity. We anticipate additional costs associated with CCPA and other U.S. state privacy law compliance and we cannot yet fully determine the impact that such laws, regulations and standards may have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broad consumer privacy and data protection laws have been or are predicted to be passed in a number of additional states. Many state privacy and data protection laws differ from each other in significant ways, and it is not yet fully clear how these laws will be enforced and interpreted. In addition, other states have passed laws regulating specific aspects of privacy. For example, the State of Washington recently passed a law that regulates health and medical information that is not subject to HIPAA and a small number of states have enacted laws that specifically target the collection and use of biometric information. Furthermore, other U.S. states have enacted stringent data security 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around the world, many countries have enacted laws that regulate data protection. In the EU and EEA the collection and use of personal data is regulated by the General Data Protection Regulation and the member states’ related data protection and privacy laws, and in the U.K. by the U.K. GDPR. Because the European Data Protection Law applies not only to businesses that are established within the EEA or the U.K. but also to any business that offers goods or services to individuals in those territories, it could apply to us. European Data Protection Law imposes strict requirements, including special protections for “sensitive” personal data which includes health and genetic information of individuals in the EEA or the U.K.; expanded disclosures about the personal data use; information retention limitations; mandatory data breach notification requirements; and additional oversight obligations relating to third parties retained to process the personal data. European Data Protection Law grants or enhances the rights of individuals with respect to their personal data, including the rights to object to the processing of the data and request deletion of the same. In addition, European Data Protection Laws include strict requirements on, and prohibit, the transfer of personal data subject to European Data Protection Law to jurisdictions that have not been deemed by competent authorities to offer “adequate” privacy protections (“third countries”), unless a derogation exists or a valid European Data Protection Law transfer mechanism (for example, the EC approved Standard Contractual Clauses, certification to the EU-U.S. Data Privacy Framework (which allows for transfers for relevant U.S.-based organizations who self-certify compliance and participate in the framework) and the U.K. International Data Transfer Agreement/Addendum) has been put in place and a transfer impact assessment has been carried out. Our compliance with international data transfer obligations under European Data Protection Law, where applicable, may require significant effort and cost, and may limit our ability to transfer such personal data to other jurisdictions or to work with certain service providers that process personal data, and may require us to make strategic considerations around where such personal data is stored. Further, although the EC has acknowledged that the U.K. currently has adequate protections for international data transfers, there may be post-Brexit developments in the future that result in additional costs and operational challenges in complying with the U.K. GDPR and any other developments regulating the transfer of personal data between the U.K. and EU. For example, the U.K. government has now introduced a Data Protection and Digital Information Bill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EC. Failure to comply with the requirements of the European Data Protection Law may result in warning letters, mandatory audits, orders to cease/change the use of data, and financial penalties, including fines of up to 4% of global revenues, or 20.0 million Euros (£17.5 million in the U.K.), whichever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Moreover, data subjects can seek damages for violations, and non-profit organizations can bring claims on behalf of data subjects.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associated with ensuring compliance with these laws, including in particular European Data Protection Law, may be onerous and may adversely affect our business, financial condition, results of operations and prospects. We may also need to rely on multiple third parties, such as partners and service providers, to meet these legal requirements, which could result in additional liability for us if they do not comply.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we comply with all applicable healthcare and data privacy laws and regulations, as well as other domestic and foreign legal requirements, will involve substantial costs. It is possible that governmental and enforcement authorities in the U.S. or outside the U.S. will conclude that our business practices do not comply with current or future legal requirements. If any noncompliance actions are instituted against us, those actions could have a significant impact on our business, including the imposition of significant civil, criminal and administrative penalties, damages, disgorgement, monetary fines, individual imprisonment, exclusion from participation in federal healthcare programs (such as Medicare and Medicaid), contractual damages, reputational harm, diminished profits and future earnings, and curtailment or restructuring of our operations, as well as additional reporting obligations and oversight if we become subject to a corporate integrity agreement or similar agreement to resolve allegations of non-compliance with these laws, any of which could adversely affect our ability to operate our business and affect the results of our operations. Any action alleging a violation of these laws, even if successfully defended, could result in significant legal expenses and divert management’s attention from the operation of the business. Prohibitions or restrictions on sales (including importation or exportation) or withdrawal of future marketed products could materially affect business in an adverse way.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cost control initiatives, including healthcare legislative and regulatory reform measures, may have a material adverse effect on our business and results of operations.</w:t>
      </w:r>
    </w:p>
    <w:p>
      <w:pPr>
        <w:pStyle w:val="TextBody"/>
        <w:bidi w:val="0"/>
        <w:spacing w:before="120" w:after="283"/>
        <w:jc w:val="both"/>
        <w:rPr>
          <w:rFonts w:ascii="Times New Roman" w:hAnsi="Times New Roman"/>
          <w:sz w:val="20"/>
        </w:rPr>
      </w:pPr>
      <w:r>
        <w:rPr>
          <w:rFonts w:ascii="Times New Roman" w:hAnsi="Times New Roman"/>
          <w:color w:val="000000"/>
          <w:sz w:val="20"/>
        </w:rPr>
        <w:t>The U.S. and many other jurisdictions have enacted or proposed legal changes affecting the healthcare system that could prevent or delay marketing approval of our product candidates, affect our ability to profitably sell our product candidates once approved, and restrict or regulate post-approval activities. Changes in the legal requirements, or their interpretation, could impact our business by compelling, for example, modification to: our manufacturing arrangements; product labeling; pricing and reimbursement arrangements; private or governmental insurance coverage; the sale practices for, or availability of, our products; or record-keeping activities. If any such changes were to be imposed, they could adversely affect the operation of our business. For more information on these laws and regulations see the section entitled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Healthcare Reform</w:t>
      </w:r>
      <w:r>
        <w:rPr>
          <w:rFonts w:ascii="Times New Roman" w:hAnsi="Times New Roman"/>
          <w:i/>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party payors, whether domestic or foreign, or governmental or commercial, are developing increasingly sophisticated methods of controlling healthcare costs. In the U.S. and certain other jurisdictions, there have been, and are expected to continue to be, a number of legislative and regulatory changes to the healthcare system that could impact our ability to sell our products profitably. In the U.S., however, significant uncertainty exists regarding the provision and financing of healthcare because the newly elected administration and federal legislators have publicly declared their intention to review and potentially significantly modify the current legal and regulatory framework for the healthcare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set a price that we believe is fair for our approved products;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 legislation at the U.S. federal and state levels seeks to reduce healthcare costs and improve the quality of healthcare. For example, the U.S. Affordable Care Act (“ACA”), enacted in March 2010, subjected biologic products to potential competition by lower-cost biosimilars; introduced a new methodology to calculate manufacturers’ rebates under the Medicaid Drug Rebate Program for certain drugs, including infused or injected drugs; increased manufacturers’ minimum Medicaid rebates under the Medicaid Drug Rebate Program; extended the Medicaid Drug Rebate Program to pharmaceutical prescriptions of individuals enrolled in Medicaid managed care organizations; imposed new annual fees and taxes for certain branded prescription drugs and biologic agents; created the Medicare Part D coverage gap discount program, in which manufacturers must agree to offer 70% point-of-sale discounts as of January 1, 2019, off negotiated prices on certain brand drugs to eligible beneficiaries during their coverage gap period, as a condition for the manufacturer’s outpatient drugs to be covered under Medicare Part D; and provided incentives to programs that increase the federal government’s comparative effectiveness research. Congress also could consider additional legislation to repeal, replace, or further modify elements of the ACA. Thus, the full impact of the ACA, or any law replacing elements of it, and the political uncertainty regarding any repeal and replacement on the ACA, on our business remains unclear.</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Investment in Securities</w:t>
      </w:r>
    </w:p>
    <w:p>
      <w:pPr>
        <w:pStyle w:val="TextBody"/>
        <w:bidi w:val="0"/>
        <w:spacing w:before="120" w:after="283"/>
        <w:jc w:val="both"/>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 </w:t>
      </w:r>
    </w:p>
    <w:p>
      <w:pPr>
        <w:pStyle w:val="TextBody"/>
        <w:bidi w:val="0"/>
        <w:spacing w:before="240" w:after="283"/>
        <w:jc w:val="both"/>
        <w:rPr>
          <w:rFonts w:ascii="Times New Roman" w:hAnsi="Times New Roman"/>
          <w:sz w:val="20"/>
        </w:rPr>
      </w:pPr>
      <w:r>
        <w:rPr>
          <w:rFonts w:ascii="Times New Roman" w:hAnsi="Times New Roman"/>
          <w:b/>
          <w:i/>
          <w:color w:val="000000"/>
          <w:sz w:val="20"/>
        </w:rPr>
        <w:t>The price of our common stock historically has been volatile, which may affect the price at which you could sell any shares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for our common stock historically has been highly volatile and could continue to be subject to wide fluctuations in response to various factors.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products or technologies or competing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clinical trials of our product candidates or those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issued patents, patent applications or other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or legal developments in the U.S.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efforts to discover, develop, manufacture, acquire or in-license our current and additional product candidates or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variations in our financial results or the financial results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shares intend to sell shares;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perception of the safety of genome editing based therapeutics;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other factors summarized and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section.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trading in the stock market in general, and in The Nasdaq Global Market in particular, have also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Securities and industry analysts may not publish an adequate amount of research on us, which may negatively impact the trading price for our stock. In addition, if one or more of the analysts who cover us downgrade our stock or publish inaccurate or unfavorable research about our business, our stock price would likely decline. Further, if our operating results fail to meet the forecasts of analysts, our stock price would likely decline. If one or more of these analysts cease coverage of us or fail to publish reports on us regularly, demand for our stock could decrease, which might cause our stock price and trading volume to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 Related to Ownership Generally</w:t>
      </w:r>
    </w:p>
    <w:p>
      <w:pPr>
        <w:pStyle w:val="TextBody"/>
        <w:bidi w:val="0"/>
        <w:spacing w:before="120" w:after="283"/>
        <w:jc w:val="both"/>
        <w:rPr>
          <w:rFonts w:ascii="Times New Roman" w:hAnsi="Times New Roman"/>
          <w:sz w:val="20"/>
        </w:rPr>
      </w:pPr>
      <w:r>
        <w:rPr>
          <w:rFonts w:ascii="Times New Roman" w:hAnsi="Times New Roman"/>
          <w:b/>
          <w:i/>
          <w:color w:val="000000"/>
          <w:sz w:val="20"/>
        </w:rPr>
        <w:t>Our principal stockholders and management own a significant percentage of our stock and, if they choose to act together, will be able to control or exercise significant influence over matters subject to stockholder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our executive officers, directors, 5% or greater stockholders and their affiliates beneficially owned approximately 38.4% of our outstanding voting stock. These stockholders may have the ability to influence us through their ownership positions. These stockholders may be able to determine all matters requiring stockholder approval. For example, these stockholders, acting together, may be able to control elections of directors or approval of any merger, sale of assets or other major corporate transaction. This may prevent or discourage unsolicited acquisition proposals or offers for our common stock that you may believe are in your best interest as one of our stockholders.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broad discretion over the use of our cash, cash equivalents and marketable securities, and may not use them effectively, including that we may be exposed to liquidity issues and other systemic financial risks at the financial institutions holding our cash and cash equivalents.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has broad discretion to use our cash, cash equivalents and marketable securities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cash equivalents and marketable securities in a manner that does not produce income or that loses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portion of our cash may be held by financial institutions that may have been, or could in the future become, exposed to liquidity issues, bank failures or other systemic financial risks. Our uninsured cash deposits with such financial institutions may be at risk in the event they experience liquidity problems or other financial losses. For example, in May 2023, the Federal Deposit Insurance Corporation (“FDIC”) took control of First Republic Bank and JP Morgan Chase &amp; Co. has since acquired a substantial amount of assets and certain liabilities of First Republic. Although the U.S. Department of Treasury, FDIC and Federal Reserve Board have announced a program to provide up to $25.0 billion of loans to financial institutions secured by certain government securities held by financial institutions to mitigate the risk of potential losses on the sale of such instruments, there is no guarantee that such loans will fully mitigate the risk of potential losses or that the U.S. Department of Treasury, FDIC and Federal Reserve Board will provide access to uninsured funds in the future in the event of the closure of other banks or financial institutions, or that they would do so in a timely fashion. We assess our banking relationships as we believe necessary or appropriate, but uncertainty remains over liquidity concerns in the broader financial services industry, and our business, our business partners, or industry as a whole may be adversely impacted in ways that we cannot predict at this time, including our ability to access cash in amounts adequate to finance or capitalize our current and/or projected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(including cash management arrangements), disruptions or instability in the financial services industry or financial markets, or concerns or negative expectations about the prospects for companies in the financial services industry. In addition, our vendors, such as our CMOs, CROs or business partners, may be susceptible to the foregoing liquidity or other financial risks and factors, which could, in turn, have a material adverse effect on our current and/or projected business operations and results of operations and financial condition.</w:t>
      </w:r>
    </w:p>
    <w:p>
      <w:pPr>
        <w:pStyle w:val="TextBody"/>
        <w:bidi w:val="0"/>
        <w:spacing w:before="240" w:after="283"/>
        <w:jc w:val="both"/>
        <w:rPr>
          <w:rFonts w:ascii="Times New Roman" w:hAnsi="Times New Roman"/>
          <w:sz w:val="20"/>
        </w:rPr>
      </w:pPr>
      <w:r>
        <w:rPr>
          <w:rFonts w:ascii="Times New Roman" w:hAnsi="Times New Roman"/>
          <w:b/>
          <w:i/>
          <w:color w:val="000000"/>
          <w:sz w:val="20"/>
        </w:rPr>
        <w:t>We incur significant costs as a result of operating as a public company, and our management is required to devote substantial time to compliance initiatives and corporate governance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and particularly since we are no longer an “emerging growth company” under applicable SEC regulations, we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Section 404 of the Sarbanes-Oxley Act of 2002 (“Section 404”), we are required to furnish a report by our management on our internal control over financial reporting, including an attestation report on internal control over financial reporting issued by our independent registered public accounting firm. We conduct a process each year to document and evaluate our internal control over financial reporting, which is both costly and challenging. In this regard, we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that our internal control over financial reporting is effective as required by Section 404. This could result in an adverse reaction in the financial markets due to a loss of confidence in the reliability of our consolidated financial statements.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Future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Future sales and issuances of our common stock or rights to purchase common stock, including pursuant to our equity incentive plans, could result in additional dilution of the percentage ownership of stockholders and could cause our stock price to fall.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additional capital in the future to continue our planned operations in addition to the proceeds we received from our initial public offering (“IPO”) in May 2016 and follow-on public offerings since then.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than one transaction, investors may be materially diluted by subsequent sales. These sales may also result in material dilution to our existing stockholders, and new investors could gain rights superior to our existing stockholders. </w:t>
      </w:r>
    </w:p>
    <w:p>
      <w:pPr>
        <w:pStyle w:val="TextBody"/>
        <w:bidi w:val="0"/>
        <w:spacing w:before="240" w:after="283"/>
        <w:jc w:val="both"/>
        <w:rPr>
          <w:rFonts w:ascii="Times New Roman" w:hAnsi="Times New Roman"/>
          <w:sz w:val="20"/>
        </w:rPr>
      </w:pPr>
      <w:r>
        <w:rPr>
          <w:rFonts w:ascii="Times New Roman" w:hAnsi="Times New Roman"/>
          <w:color w:val="000000"/>
          <w:sz w:val="20"/>
        </w:rPr>
        <w:t>In March 2022, we entered into an Open Market Sale Agreement (the “2022 Sale Agreement”) with Jefferies LLC (the “Sales Agent”), to provide for the offering, issuance and sale of up to an aggregate amount of $400.0 million of our common stock from time to time in “at-the-market” offerings. We will pay to the Sales Agent cash commissions of 3.0% of the gross proceeds of sales of common stock under the 2022 Sale Agreement. Through December 31, 2023, we issued 7,518,163 shares of our common stock at an average price of $42</w:t>
      </w:r>
      <w:r>
        <w:rPr>
          <w:rFonts w:ascii="Times New Roman" w:hAnsi="Times New Roman"/>
          <w:color w:val="FF0000"/>
          <w:sz w:val="20"/>
        </w:rPr>
        <w:t>.</w:t>
      </w:r>
      <w:r>
        <w:rPr>
          <w:rFonts w:ascii="Times New Roman" w:hAnsi="Times New Roman"/>
          <w:color w:val="000000"/>
          <w:sz w:val="20"/>
        </w:rPr>
        <w:t>70 per share in accordance with the 2022 Sale Agreement for aggregate net proceeds of $310.9 million, after payment of cash commissions to the Sales Agent and approximately $0.5 million related to legal, accounting and other fees in connection with the sales.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volatility in the capital markets, we may not be willing or able to continue to raise equity capital through “at-the-market” offerings. We may, therefore, need to turn to other sources of funding that may have terms that are not favorable to us, or reduce our business operations given capital constraints.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We cannot predict the effect that future sales of common stock or other equity-related securities would have on the market price of our common stock. 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certain limitations in the sales agreement and compliance with applicable law, we have the discretion to deliver a placement notice to the Sales Agent at any time throughout the term of the Sale Agreement. The number of shares that are sold by the Sales Agent after delivering a placement notice will fluctuate based on the market price of our common stock during the sales period and limits we set with the Sales Agent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Charter and Bylaws</w:t>
      </w:r>
    </w:p>
    <w:p>
      <w:pPr>
        <w:pStyle w:val="TextBody"/>
        <w:bidi w:val="0"/>
        <w:spacing w:before="120" w:after="283"/>
        <w:jc w:val="both"/>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us difficult, limit attempts by our stockholders to replace or remove our current management and adversely affect our stock price.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stock. Among other things, the certificate of incorporation and by-laws: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permit the board of directors to issue up to 5,000,000 shares of preferred stock, with any rights, preferences and privileges as they may designate;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the authorized number of directors may be changed only by resolution of the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all vacancies, including newly created directorships, may, except as otherwise required by law, be filled by the affirmative vote of a majority of directors then in office, even if less than a quorum;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 the board of directors into three classes;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a director may only be removed from the board of directors by the stockholders for cause;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that any action to be taken by our stockholders must be effected at a duly called annual or special meeting of stockholders, and may not be taken by written consent;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prevent cumulative voting rights (therefore allowing the holders of a plurality of the shares of common stock entitled to vote in any election of directors to elect all of the directors standing for election, if they should so choose);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that, to the fullest extent permitted by law, a stockholder reimburse us for all fees, costs and expenses incurred by us in connection with a proceeding initiated by such stockholder in which such stockholder does not obtain a judgment on the merits that substantially achieves the full remedy sought;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special meetings of our stockholders may be called only by the chairman of the board, our chief executive officer (or president, in the absence of a chief executive officer) or by the board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stockholders will be permitted to amend the bylaws only upon receiving at least two-thirds of the total votes entitled to be cast by holders of all outstanding shares then entitled to vote generally in the election of directors, voting together as a single class.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w:t>
      </w:r>
    </w:p>
    <w:p>
      <w:pPr>
        <w:pStyle w:val="TextBody"/>
        <w:bidi w:val="0"/>
        <w:spacing w:before="240" w:after="283"/>
        <w:jc w:val="both"/>
        <w:rPr>
          <w:rFonts w:ascii="Times New Roman" w:hAnsi="Times New Roman"/>
          <w:sz w:val="20"/>
        </w:rPr>
      </w:pPr>
      <w:r>
        <w:rPr>
          <w:rFonts w:ascii="Times New Roman" w:hAnsi="Times New Roman"/>
          <w:b/>
          <w:i/>
          <w:color w:val="000000"/>
          <w:sz w:val="20"/>
        </w:rPr>
        <w:t>Our certificate of incorporation and by-laws designate certain courts as the sole and exclusive forums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and by-laws provide that, unless we consent in writing to the selection of an alternative forum, the Court of Chancery of the State of Delaware is the sole and exclusive forum for any state law claims for any derivative action or proceeding brought on our behalf alleging state law claims,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“Delaware Forum Provision”). The Delaware Forum Provision does not apply to claims arising under the Exchange Act or the Securities Act. Our by-laws further provide that the U.S. District Court for the District of Massachusetts will be the sole and exclusive forum for resolving any complaint asserting a cause of action arising under the Securities Act (the “Federal Forum Provision”). We have chosen the U.S. District Court for the District of Massachusetts as the exclusive forum for such Securities Act causes of action because our principal executive offices are located in Cambridge, Massachusetts. Our by-laws provide that any person or entity purchasing or otherwise acquiring any interest in any shares of our common stock is deemed to have notice of and consented to the foregoing Delaware Forum Provision and the Federal Forum Provision.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Delaware Forum Provision and the Federal Forum Provision may impose additional litigation costs on stockholders in pursuing the claims identified above, particularly if the stockholders do not reside in or near the State of Delaware or the Commonwealth of Massachusetts. Additionally, the Delaware Forum Provision and the Federal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Delaware Forum Provision and the Federal Forum Provision to be inapplicable or unenforceable in an action, we may incur additional costs associated with resolving such action in other jurisdictions, which could adversely affect our business and financial condition. The Court of Chancery of the State of Delaware or the U.S.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Tax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tax law may adversely affect our business and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laws and rules dealing with U.S. federal, state and local income taxation are routinely being reviewed and modified by governmental bodies, officials and regulatory agencies, including the Internal Revenue Service and the U.S. Treasury Department. Since we were founded in 2014, many such changes have been made and changes are likely to continue to occur in the future. We cannot predict whether, when, in what form, or with what effective dates, tax laws, regulations and rulings may be enacted, promulgated or issued, that could result in an increase in our or our stockholders’ tax liability.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 (</w:t>
      </w:r>
      <w:r>
        <w:rPr>
          <w:rFonts w:ascii="Times New Roman" w:hAnsi="Times New Roman"/>
          <w:color w:val="000000"/>
          <w:sz w:val="20"/>
        </w:rPr>
        <w:t>“</w:t>
      </w:r>
      <w:r>
        <w:rPr>
          <w:rFonts w:ascii="Times New Roman" w:hAnsi="Times New Roman"/>
          <w:b/>
          <w:i/>
          <w:color w:val="000000"/>
          <w:sz w:val="20"/>
        </w:rPr>
        <w:t>NOL</w:t>
      </w:r>
      <w:r>
        <w:rPr>
          <w:rFonts w:ascii="Times New Roman" w:hAnsi="Times New Roman"/>
          <w:color w:val="000000"/>
          <w:sz w:val="20"/>
        </w:rPr>
        <w:t>”</w:t>
      </w:r>
      <w:r>
        <w:rPr>
          <w:rFonts w:ascii="Times New Roman" w:hAnsi="Times New Roman"/>
          <w:b/>
          <w:i/>
          <w:color w:val="000000"/>
          <w:sz w:val="20"/>
        </w:rPr>
        <w:t>) carryforwards and certain other tax attributes may be limited.</w:t>
      </w:r>
    </w:p>
    <w:p>
      <w:pPr>
        <w:pStyle w:val="TextBody"/>
        <w:bidi w:val="0"/>
        <w:spacing w:before="120" w:after="283"/>
        <w:jc w:val="both"/>
        <w:rPr>
          <w:rFonts w:ascii="Times New Roman" w:hAnsi="Times New Roman"/>
          <w:sz w:val="20"/>
        </w:rPr>
      </w:pPr>
      <w:r>
        <w:rPr>
          <w:rFonts w:ascii="Times New Roman" w:hAnsi="Times New Roman"/>
          <w:color w:val="000000"/>
          <w:sz w:val="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2023, we had federal and state NOLs of $954.0 million and $922.8</w:t>
      </w:r>
      <w:r>
        <w:rPr>
          <w:rFonts w:ascii="Times New Roman" w:hAnsi="Times New Roman"/>
          <w:color w:val="CC0000"/>
          <w:sz w:val="20"/>
        </w:rPr>
        <w:t xml:space="preserve"> </w:t>
      </w:r>
      <w:r>
        <w:rPr>
          <w:rFonts w:ascii="Times New Roman" w:hAnsi="Times New Roman"/>
          <w:color w:val="000000"/>
          <w:sz w:val="20"/>
        </w:rPr>
        <w:t>million, respectively, some of which begin to expire in 2034. Federal and certain state NOLs generated in taxable years ending after December 31, 2017 are not subject to expiration. As of December 31, 2023, we had federal and state research and development and other credit carryforwards of approximately $100.7 million and $64.1</w:t>
      </w:r>
      <w:r>
        <w:rPr>
          <w:rFonts w:ascii="Times New Roman" w:hAnsi="Times New Roman"/>
          <w:color w:val="CC0000"/>
          <w:sz w:val="20"/>
        </w:rPr>
        <w:t xml:space="preserve"> </w:t>
      </w:r>
      <w:r>
        <w:rPr>
          <w:rFonts w:ascii="Times New Roman" w:hAnsi="Times New Roman"/>
          <w:color w:val="000000"/>
          <w:sz w:val="20"/>
        </w:rPr>
        <w:t>million, which begin to expire in 2034 and 2029, respectively.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During 2022, we completed an assessment of the available net operating loss carryforwards and other tax attributes under Section 382 that covered the period from inception through December 31, 2022. This analysis did not result in a material limitation to our other tax attributes. We have not completed an analysis through December 31, 2023. To the extent there was a change in control during 2023, our tax attributes could be subject to limitation. We may experience ownership changes in the future. As a result, if we earn net taxable income, our ability to use our pre-change NOLs and research and development tax credits to offset such taxable income and income tax, respectively, could be subject to limitations. Similar provisions of state tax law may also apply. As a result, even if we attain profitability, we may be unable to use a material portion of our NOLs and other tax attributes.</w:t>
      </w:r>
    </w:p>
    <w:p>
      <w:pPr>
        <w:pStyle w:val="TextBody"/>
        <w:bidi w:val="0"/>
        <w:jc w:val="both"/>
        <w:rPr/>
      </w:pPr>
      <w:r>
        <w:rPr/>
        <w:t> </w:t>
      </w:r>
    </w:p>
    <w:p>
      <w:pPr>
        <w:pStyle w:val="TextBody"/>
        <w:bidi w:val="0"/>
        <w:spacing w:before="40" w:after="283"/>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a number of cybersecurity risks in connection with our business and recognize the growing threat within the general marketplace and our industry. To help the Company address these risks, we have implemented a cybersecurity risk management program that is informed by recognized industry standards and frameworks and incorporates elements of the same, including elements of the National Institute of Standards and Technology Cybersecurity Framework.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cybersecurity risk management program includes a number of components, including but not limited to a Cybersecurity Incident Response Plan (“CSIRP”), annual cybersecurity awareness training for our employees, vendor risk management, regular system maintenance including application of security patches as appropriate, regular penetration test and security assessments and implementation of enhancements to security measures used to protect our systems and data.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maintain a CSIRP that is designed to guide our incident response process for cybersecurity incidents that could affect our systems, network, or data. The CSIRP identifies the individuals responsible for developing, maintaining, and following appropriate procedures to identified cybersecurity incidents. We periodically test our CSIRP using tabletop exercises with the goal of improving our processes and preparedness.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Risks from cybersecurity threats have not to date materially affected us, including our business strategy, results of operations or financial condition. For more information about the cybersecurity risks we face, see the risk factor entitled “Our internal computer systems, or those of our collaborators or other contractors or consultants, may fail or suffer security breaches, which could result in a material disruption of our operations and development efforts” in Item 1A-Risk Factors.</w:t>
      </w:r>
    </w:p>
    <w:p>
      <w:pPr>
        <w:pStyle w:val="TextBody"/>
        <w:bidi w:val="0"/>
        <w:spacing w:before="240" w:after="283"/>
        <w:jc w:val="both"/>
        <w:rPr>
          <w:rFonts w:ascii="Times New Roman" w:hAnsi="Times New Roman"/>
          <w:sz w:val="20"/>
        </w:rPr>
      </w:pPr>
      <w:r>
        <w:rPr>
          <w:rFonts w:ascii="Times New Roman" w:hAnsi="Times New Roman"/>
          <w:i/>
          <w:color w:val="000000"/>
          <w:sz w:val="20"/>
        </w:rPr>
        <w:t>Governance</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as a whole and through its committees, has responsibility for the oversight of risk management, which includes ensuring that the risk management process implemented within our organization is appropriate and functioning as designed. The Audit Committee of our Board of Directors oversees cybersecurity risks pursuant to its charter, and our governance framework includes oversight by the Audit Committee. The Audit Committee, with assistance from our management, including our Head of IT, periodically reports to the full Board of Directors to inform them of potential cyber risks and threats, the status of projects to further develop our information security systems, and the emerging cybersecurity threat landscape.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Head of IT is responsible for strategic leadership of our cybersecurity risk management program. The Head of IT role is currently held by an individual who has approximately eighteen years of professional IT management experience. Our Head of IT also provides regular updates on our cybersecurity risk to our executive leadership team and other management committees responsible for IT and cybersecurity risk management.</w:t>
      </w:r>
    </w:p>
    <w:p>
      <w:pPr>
        <w:pStyle w:val="TextBody"/>
        <w:bidi w:val="0"/>
        <w:spacing w:before="240" w:after="283"/>
        <w:jc w:val="both"/>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headquarters are located at 40 Erie Street in Cambridge, Massachusetts, where we occupy approximately 65,000 square feet of office and laboratory space. We have a ten-year lease agreement expiring in September 2026, with an option to extend the term of the lease for an additional three years. In addition, we lease approximately 15,200 square feet of office and laboratory space at 130 Brookline Street in Cambridge, Massachusetts, which expires in 2031. In March 2020, we entered into an agreement to lease approximately 39,000 square feet of office and laboratory space at 281 Albany Street in Cambridge, Massachusetts with an initial term of ten years and an option to extend the lease for two successive five-year terms. In July 2021, we entered into an agreement to lease approximately 14,000 square feet of office space at 17 Tudor Street in Cambridge, Massachusetts with an initial term of five years and an option to extend the lease for one three-year term. In January 2022, we entered into an agreement to lease approximately 38,000 square feet of office and laboratory space at 730 Main Street, Cambridge, Massachusetts with an initial term of ten years and an option to extend the lease for one five-year term. We have subleased approximately 13,000 square feet of this property for office and laboratory use through March 2026. In February 2022, we entered into an agreement to lease approximately 140,000 square feet of office, general laboratory and manufacturing space at 840 Winter Street, Waltham Massachusetts, which will provide us with the ability to manufacture products in a good manufacturing practice (“GMP”) compliant facility in the future. This lease is expected to commence in the second half of 2024 with an initial term of twelve years and an option to extend the lease for two five-year terms. In June 2022, we entered into an agreement to lease approximately 62,000 square feet of office and laboratory space at 640 Memorial Drive, Cambridge, Massachusetts with a term of five years, ending in August 2027.</w:t>
      </w:r>
    </w:p>
    <w:p>
      <w:pPr>
        <w:pStyle w:val="TextBody"/>
        <w:bidi w:val="0"/>
        <w:spacing w:before="240" w:after="283"/>
        <w:jc w:val="both"/>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are from time to time involved in lawsuits, claims, investigations, proceedings, and threats of litigation related to intellectual property (“IP”), commercial arrangements and other matters.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pStyle w:val="TextBody"/>
        <w:bidi w:val="0"/>
        <w:spacing w:before="240" w:after="283"/>
        <w:jc w:val="both"/>
        <w:rPr>
          <w:rFonts w:ascii="Times New Roman" w:hAnsi="Times New Roman"/>
          <w:sz w:val="20"/>
        </w:rPr>
      </w:pPr>
      <w:bookmarkStart w:id="9" w:name="item_4_mine_safety_disclosures"/>
      <w:bookmarkEnd w:id="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the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common stock is traded on the Nasdaq Global Market under the symbol “NTLA”.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February 16, 2024, the number of holders of record of our common stock was 14. The actual number of holders of our common stock is greater than this number of record holders, and includes stockholders who are beneficial owners, but whose shares are held in street name by brokers or held by other nominees. The number of holders of record also does not include stockholders whose shares may be held in trust by other entities. </w:t>
      </w:r>
    </w:p>
    <w:p>
      <w:pPr>
        <w:pStyle w:val="TextBody"/>
        <w:bidi w:val="0"/>
        <w:spacing w:before="240" w:after="283"/>
        <w:jc w:val="both"/>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intend to retain all of our future earnings, if any, to finance the growth and development of our business. We do not intend to pay cash dividends to our stockholders in the foreseeable future.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Performance Graph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graph shows a comparison from December 31, 2018 through December 31, 2023, of the cumulative total return on an assumed investment of $100.00 in cash in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pStyle w:val="TextBody"/>
        <w:bidi w:val="0"/>
        <w:spacing w:before="120" w:after="283"/>
        <w:jc w:val="both"/>
        <w:rPr/>
      </w:pPr>
      <w:r>
        <w:rPr/>
        <w:drawing>
          <wp:inline distT="0" distB="0" distL="0" distR="0">
            <wp:extent cx="5353050" cy="444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53050" cy="44481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performance graph in this Item 5 is not deemed to be “soliciting material” or to be “filed” with the Securities and Exchange Commission for purposes of Section 18 of the Securities and Exchange Act of 1934, as amended, or otherwise subject to the liabilities under that Section, and shall not be deemed incorporated by reference into any of our filings under the Securities Act of 1933 or the Securities Exchange Act of 1934, except to the extent we specifically incorporate it by reference into such a filing.</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Equity Compensation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Item 5 of Form 10-K regarding equity compensation plans is incorporated herein by reference to Item 12 of Part III of this Annual Report on Form 10-K. </w:t>
      </w:r>
    </w:p>
    <w:p>
      <w:pPr>
        <w:pStyle w:val="TextBody"/>
        <w:bidi w:val="0"/>
        <w:spacing w:before="240" w:after="283"/>
        <w:jc w:val="both"/>
        <w:rPr>
          <w:rFonts w:ascii="Times New Roman" w:hAnsi="Times New Roman"/>
          <w:sz w:val="20"/>
        </w:rPr>
      </w:pPr>
      <w:r>
        <w:rPr>
          <w:rFonts w:ascii="Times New Roman" w:hAnsi="Times New Roman"/>
          <w:i/>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purchase any of our registered equity securities during the period covered by this Annual Report. </w:t>
      </w:r>
    </w:p>
    <w:p>
      <w:pPr>
        <w:pStyle w:val="TextBody"/>
        <w:bidi w:val="0"/>
        <w:spacing w:before="240" w:after="283"/>
        <w:jc w:val="both"/>
        <w:rPr>
          <w:rFonts w:ascii="Times New Roman" w:hAnsi="Times New Roman"/>
          <w:sz w:val="20"/>
        </w:rPr>
      </w:pPr>
      <w:r>
        <w:rPr>
          <w:rFonts w:ascii="Times New Roman" w:hAnsi="Times New Roman"/>
          <w:i/>
          <w:color w:val="000000"/>
          <w:sz w:val="20"/>
        </w:rPr>
        <w:t>Unregistered Sales of Equity Securities and 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both"/>
        <w:rPr>
          <w:rFonts w:ascii="Times New Roman" w:hAnsi="Times New Roman"/>
          <w:b/>
          <w:color w:val="000000"/>
          <w:sz w:val="20"/>
        </w:rPr>
      </w:pPr>
      <w:bookmarkStart w:id="12" w:name="item_6_selected_financial_data"/>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management’s discussion and analysis of our financial condition and results of operations are based upon our consolidated financial statements included in this Annual Report on Form 10-K, which have been prepared by us in accordance with accounting principles generally accepted in the United States of America (“U.S. GAAP”) and with Regulation S-X, promulgated under the Securities Exchange Act of 1934, as amended. This discussion and analysis should be read in conjunction with these consolidated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1A. </w:t>
      </w:r>
      <w:r>
        <w:rPr>
          <w:rFonts w:ascii="Times New Roman" w:hAnsi="Times New Roman"/>
          <w:i/>
          <w:color w:val="000000"/>
          <w:sz w:val="20"/>
        </w:rPr>
        <w:t>Risk Factors</w:t>
      </w:r>
      <w:r>
        <w:rPr>
          <w:rFonts w:ascii="Times New Roman" w:hAnsi="Times New Roman"/>
          <w:color w:val="000000"/>
          <w:sz w:val="20"/>
        </w:rPr>
        <w:t xml:space="preserve"> of this Annual Report on Form 10-K, our actual results could differ materially from the results described in or implied by the forward-looking statements contained in the following discussion and analysis.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pertaining to fiscal year 2021 was included in our Annual Report on Form 10-K for the year ended December 31, 2022 under Part II, Item 7, “Management’s Discussion and Analysis of Financial Position and Results of Operations,” which was filed with the Securities and Exchange Commission (the “SEC”) on February 23, 2023.</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Management 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Intellia Therapeutics, Inc. (“we,” “us,” “our,” “Intellia,” or the “Company”) is a leading clinical-stage gene editing company, focused on developing potentially curative therapeutics using CRISPR/Cas9-based technologies. CRISPR/Cas9, an acronym for </w:t>
      </w:r>
      <w:r>
        <w:rPr>
          <w:rFonts w:ascii="Times New Roman" w:hAnsi="Times New Roman"/>
          <w:color w:val="000000"/>
          <w:sz w:val="20"/>
          <w:u w:val="single"/>
        </w:rPr>
        <w:t>C</w:t>
      </w:r>
      <w:r>
        <w:rPr>
          <w:rFonts w:ascii="Times New Roman" w:hAnsi="Times New Roman"/>
          <w:color w:val="000000"/>
          <w:sz w:val="20"/>
        </w:rPr>
        <w:t xml:space="preserve">lustered, </w:t>
      </w:r>
      <w:r>
        <w:rPr>
          <w:rFonts w:ascii="Times New Roman" w:hAnsi="Times New Roman"/>
          <w:color w:val="000000"/>
          <w:sz w:val="20"/>
          <w:u w:val="single"/>
        </w:rPr>
        <w:t>R</w:t>
      </w:r>
      <w:r>
        <w:rPr>
          <w:rFonts w:ascii="Times New Roman" w:hAnsi="Times New Roman"/>
          <w:color w:val="000000"/>
          <w:sz w:val="20"/>
        </w:rPr>
        <w:t xml:space="preserve">egularly </w:t>
      </w:r>
      <w:r>
        <w:rPr>
          <w:rFonts w:ascii="Times New Roman" w:hAnsi="Times New Roman"/>
          <w:color w:val="000000"/>
          <w:sz w:val="20"/>
          <w:u w:val="single"/>
        </w:rPr>
        <w:t>I</w:t>
      </w:r>
      <w:r>
        <w:rPr>
          <w:rFonts w:ascii="Times New Roman" w:hAnsi="Times New Roman"/>
          <w:color w:val="000000"/>
          <w:sz w:val="20"/>
        </w:rPr>
        <w:t xml:space="preserve">nterspaced </w:t>
      </w:r>
      <w:r>
        <w:rPr>
          <w:rFonts w:ascii="Times New Roman" w:hAnsi="Times New Roman"/>
          <w:color w:val="000000"/>
          <w:sz w:val="20"/>
          <w:u w:val="single"/>
        </w:rPr>
        <w:t>S</w:t>
      </w:r>
      <w:r>
        <w:rPr>
          <w:rFonts w:ascii="Times New Roman" w:hAnsi="Times New Roman"/>
          <w:color w:val="000000"/>
          <w:sz w:val="20"/>
        </w:rPr>
        <w:t xml:space="preserve">hort </w:t>
      </w:r>
      <w:r>
        <w:rPr>
          <w:rFonts w:ascii="Times New Roman" w:hAnsi="Times New Roman"/>
          <w:color w:val="000000"/>
          <w:sz w:val="20"/>
          <w:u w:val="single"/>
        </w:rPr>
        <w:t>P</w:t>
      </w:r>
      <w:r>
        <w:rPr>
          <w:rFonts w:ascii="Times New Roman" w:hAnsi="Times New Roman"/>
          <w:color w:val="000000"/>
          <w:sz w:val="20"/>
        </w:rPr>
        <w:t xml:space="preserve">alindromic </w:t>
      </w:r>
      <w:r>
        <w:rPr>
          <w:rFonts w:ascii="Times New Roman" w:hAnsi="Times New Roman"/>
          <w:color w:val="000000"/>
          <w:sz w:val="20"/>
          <w:u w:val="single"/>
        </w:rPr>
        <w:t>R</w:t>
      </w:r>
      <w:r>
        <w:rPr>
          <w:rFonts w:ascii="Times New Roman" w:hAnsi="Times New Roman"/>
          <w:color w:val="000000"/>
          <w:sz w:val="20"/>
        </w:rPr>
        <w:t>epeats (“CRISPR”)/</w:t>
      </w:r>
      <w:r>
        <w:rPr>
          <w:rFonts w:ascii="Times New Roman" w:hAnsi="Times New Roman"/>
          <w:color w:val="000000"/>
          <w:sz w:val="20"/>
          <w:u w:val="single"/>
        </w:rPr>
        <w:t>C</w:t>
      </w:r>
      <w:r>
        <w:rPr>
          <w:rFonts w:ascii="Times New Roman" w:hAnsi="Times New Roman"/>
          <w:color w:val="000000"/>
          <w:sz w:val="20"/>
        </w:rPr>
        <w:t xml:space="preserve">RISPR </w:t>
      </w:r>
      <w:r>
        <w:rPr>
          <w:rFonts w:ascii="Times New Roman" w:hAnsi="Times New Roman"/>
          <w:color w:val="000000"/>
          <w:sz w:val="20"/>
          <w:u w:val="single"/>
        </w:rPr>
        <w:t>a</w:t>
      </w:r>
      <w:r>
        <w:rPr>
          <w:rFonts w:ascii="Times New Roman" w:hAnsi="Times New Roman"/>
          <w:color w:val="000000"/>
          <w:sz w:val="20"/>
        </w:rPr>
        <w:t xml:space="preserve">ssociated </w:t>
      </w:r>
      <w:r>
        <w:rPr>
          <w:rFonts w:ascii="Times New Roman" w:hAnsi="Times New Roman"/>
          <w:color w:val="000000"/>
          <w:sz w:val="20"/>
          <w:u w:val="single"/>
        </w:rPr>
        <w:t>9</w:t>
      </w:r>
      <w:r>
        <w:rPr>
          <w:rFonts w:ascii="Times New Roman" w:hAnsi="Times New Roman"/>
          <w:color w:val="000000"/>
          <w:sz w:val="20"/>
        </w:rPr>
        <w:t xml:space="preserve"> (“Cas9”), is a technology for genome editing, the process of altering selected sequences of genomic deoxyribonucleic acid (“DNA”). To fully realize the transformative potential of CRISPR/Cas9-based technologies, we are building a full-spectrum gene editing company, by leveraging our modular platform, to advance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ex vivo</w:t>
      </w:r>
      <w:r>
        <w:rPr>
          <w:rFonts w:ascii="Times New Roman" w:hAnsi="Times New Roman"/>
          <w:color w:val="000000"/>
          <w:sz w:val="20"/>
        </w:rPr>
        <w:t xml:space="preserve"> therapies for diseases with high unmet need by pursuing two primary approaches. For </w:t>
      </w:r>
      <w:r>
        <w:rPr>
          <w:rFonts w:ascii="Times New Roman" w:hAnsi="Times New Roman"/>
          <w:i/>
          <w:color w:val="000000"/>
          <w:sz w:val="20"/>
        </w:rPr>
        <w:t>in vivo</w:t>
      </w:r>
      <w:r>
        <w:rPr>
          <w:rFonts w:ascii="Times New Roman" w:hAnsi="Times New Roman"/>
          <w:color w:val="000000"/>
          <w:sz w:val="20"/>
        </w:rPr>
        <w:t xml:space="preserve"> applications to address genetic diseases, we deploy CRISPR/Cas9 as the therapy. Our </w:t>
      </w:r>
      <w:r>
        <w:rPr>
          <w:rFonts w:ascii="Times New Roman" w:hAnsi="Times New Roman"/>
          <w:i/>
          <w:color w:val="000000"/>
          <w:sz w:val="20"/>
        </w:rPr>
        <w:t>in vivo</w:t>
      </w:r>
      <w:r>
        <w:rPr>
          <w:rFonts w:ascii="Times New Roman" w:hAnsi="Times New Roman"/>
          <w:color w:val="000000"/>
          <w:sz w:val="20"/>
        </w:rPr>
        <w:t xml:space="preserve"> programs use CRISPR to enable precise editing of disease-causing genes directly inside the human body. In addition, we are advancing </w:t>
      </w:r>
      <w:r>
        <w:rPr>
          <w:rFonts w:ascii="Times New Roman" w:hAnsi="Times New Roman"/>
          <w:i/>
          <w:color w:val="000000"/>
          <w:sz w:val="20"/>
        </w:rPr>
        <w:t>ex vivo</w:t>
      </w:r>
      <w:r>
        <w:rPr>
          <w:rFonts w:ascii="Times New Roman" w:hAnsi="Times New Roman"/>
          <w:color w:val="000000"/>
          <w:sz w:val="20"/>
        </w:rPr>
        <w:t xml:space="preserve"> applications to address immuno-oncology and autoimmune diseases, where we use CRISPR/Cas9 as the tool to create the engineered cell therapy. For our </w:t>
      </w:r>
      <w:r>
        <w:rPr>
          <w:rFonts w:ascii="Times New Roman" w:hAnsi="Times New Roman"/>
          <w:i/>
          <w:color w:val="000000"/>
          <w:sz w:val="20"/>
        </w:rPr>
        <w:t>ex vivo</w:t>
      </w:r>
      <w:r>
        <w:rPr>
          <w:rFonts w:ascii="Times New Roman" w:hAnsi="Times New Roman"/>
          <w:color w:val="000000"/>
          <w:sz w:val="20"/>
        </w:rPr>
        <w:t xml:space="preserve"> programs, CRISPR/Cas9 is used to engineer human cells outside the body. Our deep scientific, technical and clinical development experience, along with our robust intellectual property (“IP”) portfolio, have enabled us to unlock broad therapeutic applications of CRISPR/Cas9 and related technologies to create new classes of genetic medicine. For more information regarding our business, mission and pipeline, see above sections in Part I entitled “</w:t>
      </w:r>
      <w:r>
        <w:rPr>
          <w:rFonts w:ascii="Times New Roman" w:hAnsi="Times New Roman"/>
          <w:b/>
          <w:color w:val="000000"/>
          <w:sz w:val="20"/>
        </w:rPr>
        <w:t>Overview</w:t>
      </w:r>
      <w:r>
        <w:rPr>
          <w:rFonts w:ascii="Times New Roman" w:hAnsi="Times New Roman"/>
          <w:color w:val="000000"/>
          <w:sz w:val="20"/>
        </w:rPr>
        <w:t>”, “</w:t>
      </w:r>
      <w:r>
        <w:rPr>
          <w:rFonts w:ascii="Times New Roman" w:hAnsi="Times New Roman"/>
          <w:b/>
          <w:color w:val="000000"/>
          <w:sz w:val="20"/>
        </w:rPr>
        <w:t>Strategy</w:t>
      </w:r>
      <w:r>
        <w:rPr>
          <w:rFonts w:ascii="Times New Roman" w:hAnsi="Times New Roman"/>
          <w:color w:val="000000"/>
          <w:sz w:val="20"/>
        </w:rPr>
        <w:t>” and “</w:t>
      </w:r>
      <w:r>
        <w:rPr>
          <w:rFonts w:ascii="Times New Roman" w:hAnsi="Times New Roman"/>
          <w:b/>
          <w:color w:val="000000"/>
          <w:sz w:val="20"/>
        </w:rPr>
        <w:t>Our Pipeline</w:t>
      </w:r>
      <w:r>
        <w:rPr>
          <w:rFonts w:ascii="Times New Roman" w:hAnsi="Times New Roman"/>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Financial Overview</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consists of collaboration revenue, including amounts recognized related to upfront technology access payments for licenses, technology access fees, research materials shipped, research funding and milestone payments earned under our collaboration and license agreements.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consist of expenses incurred in performing research and development activities, such as compensation and benefits, which includes stock-based compensation, for full-time research and development employees, allocated facility-related expenses, overhead expenses, license and milestone fees, contract research, development and manufacturing services, clinical trial costs and other related costs.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and benefits, including stock-based compensation, for our executive, finance, legal, human resources, business development and support functions. Also included in general and administrative expenses are allocated facility-related costs not otherwise included in research and development expenses, travel expenses and professional fees for auditing, tax and legal services, including IP-related legal services, and other consulting fees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consists of interest income earned on our cash, cash equivalents, restricted cash equivalents and marketable securities, loss from equity method investment and change in fair value of contingent consideration.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of the financial condition and results of operations should be read in conjunction with the accompanying consolidated financial statements and the related footnotes thereto.</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Years Ended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2023 and 2022 (in thousands):</w:t>
      </w:r>
    </w:p>
    <w:tbl>
      <w:tblPr>
        <w:tblW w:w="8916" w:type="dxa"/>
        <w:jc w:val="left"/>
        <w:tblInd w:w="0" w:type="dxa"/>
        <w:tblLayout w:type="fixed"/>
        <w:tblCellMar>
          <w:top w:w="28" w:type="dxa"/>
          <w:left w:w="28" w:type="dxa"/>
          <w:bottom w:w="28" w:type="dxa"/>
          <w:right w:w="28" w:type="dxa"/>
        </w:tblCellMar>
      </w:tblPr>
      <w:tblGrid>
        <w:gridCol w:w="4266"/>
        <w:gridCol w:w="146"/>
        <w:gridCol w:w="211"/>
        <w:gridCol w:w="841"/>
        <w:gridCol w:w="166"/>
        <w:gridCol w:w="146"/>
        <w:gridCol w:w="211"/>
        <w:gridCol w:w="841"/>
        <w:gridCol w:w="166"/>
        <w:gridCol w:w="146"/>
        <w:gridCol w:w="264"/>
        <w:gridCol w:w="921"/>
        <w:gridCol w:w="5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591" w:type="dxa"/>
            <w:tcBorders/>
            <w:shd w:fill="FFFFFF" w:val="cle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(15,846</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(57,127</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 decreased by $15.8 million to $36.3 million during the year ended December 31, 2023, as compared to $52.1 million during the year ended December 31, 2022. This decrease was primarily driven by a $10.3 million cumulative adjustment related to a contract modification resulting from Regeneron exercising a one-time option to extend the term of our technology collaboration for an additional two years. Refer to Note 9 to our consolidated financial statements appearing elsewhere in this Annual Report on Form 10-K for further details.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increased by $15.1 million to $435.1 million during the year ended December 31, 2023, as compared to $420.0 million during the year ended December 31,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years ended December 31, 2023 and 2022, together with the changes in those items in dollars (in thousands) and the respective percentages of change.</w:t>
      </w:r>
    </w:p>
    <w:tbl>
      <w:tblPr>
        <w:tblW w:w="9445" w:type="dxa"/>
        <w:jc w:val="left"/>
        <w:tblInd w:w="0" w:type="dxa"/>
        <w:tblLayout w:type="fixed"/>
        <w:tblCellMar>
          <w:top w:w="28" w:type="dxa"/>
          <w:left w:w="28" w:type="dxa"/>
          <w:bottom w:w="28" w:type="dxa"/>
          <w:right w:w="28" w:type="dxa"/>
        </w:tblCellMar>
      </w:tblPr>
      <w:tblGrid>
        <w:gridCol w:w="4111"/>
        <w:gridCol w:w="146"/>
        <w:gridCol w:w="146"/>
        <w:gridCol w:w="211"/>
        <w:gridCol w:w="781"/>
        <w:gridCol w:w="146"/>
        <w:gridCol w:w="146"/>
        <w:gridCol w:w="211"/>
        <w:gridCol w:w="781"/>
        <w:gridCol w:w="146"/>
        <w:gridCol w:w="146"/>
        <w:gridCol w:w="264"/>
        <w:gridCol w:w="921"/>
        <w:gridCol w:w="166"/>
        <w:gridCol w:w="146"/>
        <w:gridCol w:w="153"/>
        <w:gridCol w:w="508"/>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16" w:type="dxa"/>
            <w:tcBorders/>
            <w:shd w:fill="FFFFFF" w:val="cle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development expenses by program:</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NTLA-2001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NTLA-2002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NTLA-3001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NTLA-5001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Employee-related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materials and contracted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In-process research and development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milestone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Facility-related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The increase</w:t>
      </w:r>
      <w:r>
        <w:rPr>
          <w:rFonts w:ascii="Times New Roman" w:hAnsi="Times New Roman"/>
          <w:color w:val="FF0000"/>
          <w:sz w:val="20"/>
        </w:rPr>
        <w:t xml:space="preserve"> </w:t>
      </w:r>
      <w:r>
        <w:rPr>
          <w:rFonts w:ascii="Times New Roman" w:hAnsi="Times New Roman"/>
          <w:color w:val="000000"/>
          <w:sz w:val="20"/>
        </w:rPr>
        <w:t>in research and development expenses for the year ended December 31, 2023 compared to the year ended December 31, 2022 was primarily attributable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$16.6 million increase in external costs related to the development of NTLA-2001, our lead product candidate, primarily due to an increase in spend on drug components and contracted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$12.9 million increase in external costs related to the development of NTLA-2002, primarily due to an increase in spend on drug components, contracted services and consulting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$5.8 million increase in external costs related to NTLA-3001, primarily related to an increase in spend on drug components and consulting and professional services, offset in part by a decrease in spend on contracted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$17.8 million decrease in external costs related to the development of NTLA-5001, as we discontinued this program as part of our pivot to an allogeneic pipeline;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 $23.7</w:t>
      </w:r>
      <w:r>
        <w:rPr>
          <w:color w:val="FF0000"/>
        </w:rPr>
        <w:t xml:space="preserve"> </w:t>
      </w:r>
      <w:r>
        <w:rPr>
          <w:rFonts w:ascii="Times New Roman" w:hAnsi="Times New Roman"/>
          <w:color w:val="000000"/>
          <w:sz w:val="20"/>
        </w:rPr>
        <w:t xml:space="preserve">million increase in employee-related expenses, primarily driven by the increase in personnel growth to support our lead programs;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 $14.1</w:t>
      </w:r>
      <w:r>
        <w:rPr>
          <w:color w:val="FF0000"/>
        </w:rPr>
        <w:t xml:space="preserve"> </w:t>
      </w:r>
      <w:r>
        <w:rPr>
          <w:rFonts w:ascii="Times New Roman" w:hAnsi="Times New Roman"/>
          <w:color w:val="000000"/>
          <w:sz w:val="20"/>
        </w:rPr>
        <w:t>million decrease in research materials and contracted services primarily driven by a decrease in drug component expenses and contracted services related to early stage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$56.0 million decrease in in-process research and development expense related to the acquisition of Rewrite Therapeutics, Inc. in the first half of 2022;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$15.5 million increase in facility-related expenses primarily related to rent, depreciation, maintenance and services, and technology expense allocated to research and development;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$25.9 million increase in stock-based compensation driven by increases in employee headcount in 2023 compared to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2024, we expect research and development expenses to increase as we advance our global pivotal trials for NTLA-2001 and NTLA-2002, progress our NTLA-3001 program and nominate new development candidates. </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General and administrative expenses increased by $26.2 million to $116.5</w:t>
      </w:r>
      <w:r>
        <w:rPr>
          <w:rFonts w:ascii="Times New Roman" w:hAnsi="Times New Roman"/>
          <w:color w:val="FF0000"/>
          <w:sz w:val="20"/>
        </w:rPr>
        <w:t xml:space="preserve"> </w:t>
      </w:r>
      <w:r>
        <w:rPr>
          <w:rFonts w:ascii="Times New Roman" w:hAnsi="Times New Roman"/>
          <w:color w:val="000000"/>
          <w:sz w:val="20"/>
        </w:rPr>
        <w:t>million during the year ended December 31, 2023, compared to $90.3 million during the year ended December 31, 2022. This increase was primarily related to an increase in employee-related expenses, including stock-based compensation of $16.7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sz w:val="20"/>
        </w:rPr>
      </w:pPr>
      <w:r>
        <w:rPr>
          <w:rFonts w:ascii="Times New Roman" w:hAnsi="Times New Roman"/>
          <w:color w:val="000000"/>
          <w:sz w:val="20"/>
        </w:rPr>
        <w:t>The increase in other income (expense), net of $50.1 million is primarily related to a $41.3 million increase in interest income, driven by an increase in market rates, and a $13.4</w:t>
      </w:r>
      <w:r>
        <w:rPr>
          <w:rFonts w:ascii="Times New Roman" w:hAnsi="Times New Roman"/>
          <w:color w:val="FF0000"/>
          <w:sz w:val="20"/>
        </w:rPr>
        <w:t xml:space="preserve"> </w:t>
      </w:r>
      <w:r>
        <w:rPr>
          <w:rFonts w:ascii="Times New Roman" w:hAnsi="Times New Roman"/>
          <w:color w:val="000000"/>
          <w:sz w:val="20"/>
        </w:rPr>
        <w:t>million decrease in other expense related to the change in fair value of contingent consideration, offset in part by a $4.6 million increase in the loss from our equity method investment.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through December 31, 2023, we have raised an aggregate of $2,534.1 million to fund our operations through our collaboration agreements, our initial public offering and concurrent private placements, follow-on public offerings, at-the-market offerings and the sale of convertible preferred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we had $1,012.1 million in cash, cash equivalents and marketable securities.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At-the-Market Offering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2019 Sale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2019, we entered into an Open Market Sale Agreement (the “2019 Sale Agreement”) with Jefferies LLC (“Jefferies”), under which Jefferies was able to offer and sell, from time to time in “at-the-market” offerings, shares of our common stock having aggregate gross proceeds of up to $150.0 million. We agreed to pay cash commissions of 3.0% of the gross proceeds of sales of common stock under the 2019 Sale Agreement. Under the 2019 Sale Agreement, we issued 3,778,889 shares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first quarter of 2022, we issued 579,788 shares of our common stock in a series of sales at an average price of $69.43 per share in accordance with the 2019 Sale Agreement, for aggregate net proceeds of $38.9 million after payment of cash commissions and legal, accounting and other fees in connection with the sales. The 2019 Sale Agreement expired in the third quarter of 2022.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2022 Sale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2022, we entered into an Open Market Sale Agreement (the “2022 Sale Agreement”) with Jefferies, under which Jefferies is able to offer and sell, from time to time in “at-the-market” offerings, shares of our common stock having aggregate gross proceeds of up to $400.0 million. We agreed to pay cash commissions of 3.0% of the gross proceeds of sales of common stock under the 2022 Sale Agreement. Through December 31, 2023 we have issued 7,518,163 shares of our common stock under the 2022 Sale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2023, we issued 4,122,824 shares of our common stock, in a series of sales, at an average price of $30.57 per share, in accordance with the 2022 Sale Agreement for aggregate net proceeds of $121.9 million, after payment of cash commissions and legal, accounting and other fees in connection with the sales. As of December 31, 2023, $2.1 million of these proceeds are included in “Prepaid expenses and other current assets” on our consolidated balance sheet, representing offerings with trade dates in December 2023 that were settled in January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2022, we issued 3,395,339 shares of our common stock, in a series of sales, at an average price of $57.43 per share, in accordance with the 2022 Sale Agreement for aggregate net proceeds of $189.0 million, after payment of cash commissions and legal, accounting and other fees in connection with the sales.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Follow-on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2022, we closed an underwritten public offering of 7,532,751 shares of common stock, including the exercise in full of the underwriters’ option to purchase an additional 982,532 shares of common stock, at the public offering price of $45.80 per share, for aggregate net proceeds of $337.9 million, after deducting the underwriting discount, commissions and legal, accounting and other fees in connection with the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primary uses of capital are, and we expect will continue to be, research and development research materials and contracted services, clinical trial costs, compensation and related expenses, laboratory and office facilities, research supplies, legal and regulatory expenses, patent prosecution filing and maintenance costs for our licensed IP, milestone and royalty payments and general overhead costs. During 2024, we expect our expenses to increase compared to prior periods in connection with our ongoing activities as we continue to develop our clinical programs and advance additional programs into clinical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eligible to earn a significant amount of milestone payments and royalties, in each case, on a per-product basis under our collaborations with SparingVision SAS (“SparingVision”) and ONK Therapeutics, Ltd. (“ONK”), on a per-target basis under our collaboration with Regeneron Pharmaceuticals, Inc. (“Regeneron”) and upon achievement of certain events under our collaboration with Kyverna Therapeutics, Inc. (“Kyverna”). Our ability to earn these milestone payments and the timing of achieving these milestones is dependent upon the outcome of our research and development activities and is uncertain at this time. Our rights to payments under our collaboration agreements are our only committed external source of funds.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our lead programs are in the clinical stage and the outcome of these efforts is uncertain, we cannot estimate the actual amounts necessary to successfully complete the development and commercialization of any future product candidates or whether, or when, we may achieve profitability. Until such time as we can generate substantial product revenues, if ever, we expect to fund our ongoing cash needs through equity financings and collaboration arrangements. We receive cost reimbursements from Regeneron related to our collaboration agreements with them. Additionally, we are eligible to earn milestone payments and royalties, in each case, on a per-product basis under our collaborations with SparingVision and ONK, on a per-target basis under our collaboration with Regeneron, and upon achievement of certain events with Kyverna, subject to the provisions of our agreements with each of them. Except for these sources of funding, we will not have any committed external source of liquidity. To the extent that we raise additional capital through the future sale of equity, the ownership interest of our stockholders will be diluted, and the terms of these securities may include liquidation or other preferences that adversely affect the rights of our existing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40" w:after="283"/>
        <w:jc w:val="both"/>
        <w:rPr>
          <w:rFonts w:ascii="Times New Roman" w:hAnsi="Times New Roman"/>
          <w:sz w:val="20"/>
        </w:rPr>
      </w:pPr>
      <w:r>
        <w:rPr>
          <w:rFonts w:ascii="Times New Roman" w:hAnsi="Times New Roman"/>
          <w:b/>
          <w:i/>
          <w:color w:val="000000"/>
          <w:sz w:val="20"/>
        </w:rPr>
        <w:t>Outlook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our research and development plans and our expectations related to the progress of our programs, we expect that our cash, cash equivalents and marketable securities as of December 31, 2023, as well as research and cost reimbursement funding from our collaboration agreements will enable us to fund our ongoing operating expenses and capital expenditure requirements into mid-2026, excluding any potential milestone payments or extension fees that could be earned and distributed under our collaboration agreements or any strategic use of capital not currently in the base case planning assumptions. We have based this estimate on current assumptions that may prove to be wrong, and we could use our capital resources sooner than we expect. In January 2024, following an internal strategic review, we announced an effort to streamline company-wide operations to further focus resources on key strategic priorities and programs. These changes resulted in a pause of select exploratory research-stage programs and a workforce reduction of approximately 15%.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our success in many areas, including: developing our delivery technologies and our CRISPR/Cas9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addressing any competing technological and market developments; negotiating favorable terms in any collaboration, licensing, or other arrangements into which we may enter; maintaining good relationships with our collaborators and licensors;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maintaining, protecting, and expanding our portfolio of IP rights, including patents, trade secrets, and know-how; and attracting, hiring, and retaining qualified personnel. </w:t>
      </w:r>
    </w:p>
    <w:p>
      <w:pPr>
        <w:pStyle w:val="TextBody"/>
        <w:bidi w:val="0"/>
        <w:spacing w:before="24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is a summary of cash flows for the years ended December 31, 2023 and 2022: </w:t>
      </w:r>
    </w:p>
    <w:tbl>
      <w:tblPr>
        <w:tblW w:w="7180" w:type="dxa"/>
        <w:jc w:val="left"/>
        <w:tblInd w:w="0" w:type="dxa"/>
        <w:tblLayout w:type="fixed"/>
        <w:tblCellMar>
          <w:top w:w="28" w:type="dxa"/>
          <w:left w:w="28" w:type="dxa"/>
          <w:bottom w:w="28" w:type="dxa"/>
          <w:right w:w="28" w:type="dxa"/>
        </w:tblCellMar>
      </w:tblPr>
      <w:tblGrid>
        <w:gridCol w:w="4261"/>
        <w:gridCol w:w="146"/>
        <w:gridCol w:w="211"/>
        <w:gridCol w:w="841"/>
        <w:gridCol w:w="166"/>
        <w:gridCol w:w="146"/>
        <w:gridCol w:w="211"/>
        <w:gridCol w:w="841"/>
        <w:gridCol w:w="16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73"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160,309</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582,955</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of $394.1 million during the year ended December 31, 2023 primarily consists of a net loss of $481.2 million, further reduced by changes in operating assets and liabilities of $52.5 million, including the receipt of $18.7 million in payments from our collaboration partners during that period and offset in part by non-cash charges of stock-based compensation of $134.1 million, loss on equity method investment of $22.3 million and depreciation of $9.0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of $333.3 million during the year ended December 31, 2022 primarily consists of a net loss of $474.2 million, further reduced by changes in operating assets and liabilities of $53.9 million, including the receipt of $10.7 million in payments from our collaboration partners during that period and offset in part by non-cash charges of stock-based compensation of $91.4 million, in-process research and development expense of $56.0 million, losses on equity method investment of $22.5 million and depreciation of $7.6 million.</w:t>
      </w:r>
    </w:p>
    <w:p>
      <w:pPr>
        <w:pStyle w:val="TextBody"/>
        <w:bidi w:val="0"/>
        <w:spacing w:before="240" w:after="283"/>
        <w:jc w:val="both"/>
        <w:rPr>
          <w:rFonts w:ascii="Times New Roman" w:hAnsi="Times New Roman"/>
          <w:sz w:val="20"/>
        </w:rPr>
      </w:pPr>
      <w:r>
        <w:rPr>
          <w:rFonts w:ascii="Times New Roman" w:hAnsi="Times New Roman"/>
          <w:i/>
          <w:color w:val="000000"/>
          <w:sz w:val="20"/>
        </w:rPr>
        <w:t>Net cash (used in) provided by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year ended December 31, 2023, our investing activities used cash of $31.3 million primarily due to $904.5 million of marketable securities purchased and $14.0 million in cash for the purchase of property and equipment, offset in part by $887.1 million in marketable securities maturing. </w:t>
      </w:r>
    </w:p>
    <w:p>
      <w:pPr>
        <w:pStyle w:val="TextBody"/>
        <w:bidi w:val="0"/>
        <w:spacing w:before="240" w:after="283"/>
        <w:jc w:val="both"/>
        <w:rPr>
          <w:rFonts w:ascii="Times New Roman" w:hAnsi="Times New Roman"/>
          <w:sz w:val="20"/>
        </w:rPr>
      </w:pPr>
      <w:r>
        <w:rPr>
          <w:rFonts w:ascii="Times New Roman" w:hAnsi="Times New Roman"/>
          <w:color w:val="000000"/>
          <w:sz w:val="20"/>
        </w:rPr>
        <w:t>During the year ended December 31, 2022, our investing activities provided net cash of $160.3</w:t>
      </w:r>
      <w:r>
        <w:rPr>
          <w:rFonts w:ascii="Times New Roman" w:hAnsi="Times New Roman"/>
          <w:color w:val="FF0000"/>
          <w:sz w:val="20"/>
        </w:rPr>
        <w:t xml:space="preserve"> </w:t>
      </w:r>
      <w:r>
        <w:rPr>
          <w:rFonts w:ascii="Times New Roman" w:hAnsi="Times New Roman"/>
          <w:color w:val="000000"/>
          <w:sz w:val="20"/>
        </w:rPr>
        <w:t xml:space="preserve">million primarily due to $647.6 million in marketable securities maturing, offset in part by $429.0 million of marketable securities purchased, $44.8 million in net cash for the acquisition of Rewrite, and $13.6 million in cash for the purchase of property and equipment. </w:t>
      </w:r>
    </w:p>
    <w:p>
      <w:pPr>
        <w:pStyle w:val="TextBody"/>
        <w:bidi w:val="0"/>
        <w:spacing w:before="240" w:after="283"/>
        <w:jc w:val="both"/>
        <w:rPr>
          <w:rFonts w:ascii="Times New Roman" w:hAnsi="Times New Roman"/>
          <w:sz w:val="20"/>
        </w:rPr>
      </w:pPr>
      <w:r>
        <w:rPr>
          <w:rFonts w:ascii="Times New Roman" w:hAnsi="Times New Roman"/>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Net cash provided by financing activities of $130.3</w:t>
      </w:r>
      <w:r>
        <w:rPr>
          <w:rFonts w:ascii="Times New Roman" w:hAnsi="Times New Roman"/>
          <w:color w:val="FF0000"/>
          <w:sz w:val="20"/>
        </w:rPr>
        <w:t xml:space="preserve"> </w:t>
      </w:r>
      <w:r>
        <w:rPr>
          <w:rFonts w:ascii="Times New Roman" w:hAnsi="Times New Roman"/>
          <w:color w:val="000000"/>
          <w:sz w:val="20"/>
        </w:rPr>
        <w:t>million during the year ended December 31, 2023 is primarily due to the receipt of $119.8</w:t>
      </w:r>
      <w:r>
        <w:rPr>
          <w:rFonts w:ascii="Times New Roman" w:hAnsi="Times New Roman"/>
          <w:color w:val="FF0000"/>
          <w:sz w:val="20"/>
        </w:rPr>
        <w:t xml:space="preserve"> </w:t>
      </w:r>
      <w:r>
        <w:rPr>
          <w:rFonts w:ascii="Times New Roman" w:hAnsi="Times New Roman"/>
          <w:color w:val="000000"/>
          <w:sz w:val="20"/>
        </w:rPr>
        <w:t>million in net proceeds from at-the-market offerings, $6.6</w:t>
      </w:r>
      <w:r>
        <w:rPr>
          <w:rFonts w:ascii="Times New Roman" w:hAnsi="Times New Roman"/>
          <w:color w:val="FF0000"/>
          <w:sz w:val="20"/>
        </w:rPr>
        <w:t xml:space="preserve"> </w:t>
      </w:r>
      <w:r>
        <w:rPr>
          <w:rFonts w:ascii="Times New Roman" w:hAnsi="Times New Roman"/>
          <w:color w:val="000000"/>
          <w:sz w:val="20"/>
        </w:rPr>
        <w:t>million in cash received from the exercise of stock options and $3.9</w:t>
      </w:r>
      <w:r>
        <w:rPr>
          <w:rFonts w:ascii="Times New Roman" w:hAnsi="Times New Roman"/>
          <w:color w:val="FF0000"/>
          <w:sz w:val="20"/>
        </w:rPr>
        <w:t xml:space="preserve"> </w:t>
      </w:r>
      <w:r>
        <w:rPr>
          <w:rFonts w:ascii="Times New Roman" w:hAnsi="Times New Roman"/>
          <w:color w:val="000000"/>
          <w:sz w:val="20"/>
        </w:rPr>
        <w:t xml:space="preserve">million in cash received from the issuance of shares through our employee stock purchase plan. </w:t>
      </w:r>
    </w:p>
    <w:p>
      <w:pPr>
        <w:pStyle w:val="TextBody"/>
        <w:bidi w:val="0"/>
        <w:spacing w:before="240" w:after="283"/>
        <w:jc w:val="both"/>
        <w:rPr>
          <w:rFonts w:ascii="Times New Roman" w:hAnsi="Times New Roman"/>
          <w:sz w:val="20"/>
        </w:rPr>
      </w:pPr>
      <w:r>
        <w:rPr>
          <w:rFonts w:ascii="Times New Roman" w:hAnsi="Times New Roman"/>
          <w:color w:val="000000"/>
          <w:sz w:val="20"/>
        </w:rPr>
        <w:t>Net cash provided by financing activities of $583.0</w:t>
      </w:r>
      <w:r>
        <w:rPr>
          <w:rFonts w:ascii="Times New Roman" w:hAnsi="Times New Roman"/>
          <w:color w:val="FF0000"/>
          <w:sz w:val="20"/>
        </w:rPr>
        <w:t xml:space="preserve"> </w:t>
      </w:r>
      <w:r>
        <w:rPr>
          <w:rFonts w:ascii="Times New Roman" w:hAnsi="Times New Roman"/>
          <w:color w:val="000000"/>
          <w:sz w:val="20"/>
        </w:rPr>
        <w:t>million during the year ended December 31, 2022 is primarily due to the receipt of $337.9</w:t>
      </w:r>
      <w:r>
        <w:rPr>
          <w:rFonts w:ascii="Times New Roman" w:hAnsi="Times New Roman"/>
          <w:color w:val="FF0000"/>
          <w:sz w:val="20"/>
        </w:rPr>
        <w:t xml:space="preserve"> </w:t>
      </w:r>
      <w:r>
        <w:rPr>
          <w:rFonts w:ascii="Times New Roman" w:hAnsi="Times New Roman"/>
          <w:color w:val="000000"/>
          <w:sz w:val="20"/>
        </w:rPr>
        <w:t>million in net proceeds from a follow-on offering of our common stock, $227.9</w:t>
      </w:r>
      <w:r>
        <w:rPr>
          <w:rFonts w:ascii="Times New Roman" w:hAnsi="Times New Roman"/>
          <w:color w:val="FF0000"/>
          <w:sz w:val="20"/>
        </w:rPr>
        <w:t xml:space="preserve"> </w:t>
      </w:r>
      <w:r>
        <w:rPr>
          <w:rFonts w:ascii="Times New Roman" w:hAnsi="Times New Roman"/>
          <w:color w:val="000000"/>
          <w:sz w:val="20"/>
        </w:rPr>
        <w:t>million in net proceeds from at-the-market offerings, $14.5</w:t>
      </w:r>
      <w:r>
        <w:rPr>
          <w:rFonts w:ascii="Times New Roman" w:hAnsi="Times New Roman"/>
          <w:color w:val="FF0000"/>
          <w:sz w:val="20"/>
        </w:rPr>
        <w:t xml:space="preserve"> </w:t>
      </w:r>
      <w:r>
        <w:rPr>
          <w:rFonts w:ascii="Times New Roman" w:hAnsi="Times New Roman"/>
          <w:color w:val="000000"/>
          <w:sz w:val="20"/>
        </w:rPr>
        <w:t>million in cash received from the exercise of stock options and $2.6</w:t>
      </w:r>
      <w:r>
        <w:rPr>
          <w:rFonts w:ascii="Times New Roman" w:hAnsi="Times New Roman"/>
          <w:color w:val="FF0000"/>
          <w:sz w:val="20"/>
        </w:rPr>
        <w:t xml:space="preserve"> </w:t>
      </w:r>
      <w:r>
        <w:rPr>
          <w:rFonts w:ascii="Times New Roman" w:hAnsi="Times New Roman"/>
          <w:color w:val="000000"/>
          <w:sz w:val="20"/>
        </w:rPr>
        <w:t>million in cash received from the issuance of shares through our employee stock purchase plan.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and Other Obligations</w:t>
      </w:r>
    </w:p>
    <w:p>
      <w:pPr>
        <w:pStyle w:val="TextBody"/>
        <w:bidi w:val="0"/>
        <w:spacing w:before="120" w:after="283"/>
        <w:jc w:val="both"/>
        <w:rPr>
          <w:rFonts w:ascii="Times New Roman" w:hAnsi="Times New Roman"/>
          <w:sz w:val="20"/>
        </w:rPr>
      </w:pPr>
      <w:r>
        <w:rPr>
          <w:rFonts w:ascii="Times New Roman" w:hAnsi="Times New Roman"/>
          <w:color w:val="000000"/>
          <w:sz w:val="20"/>
        </w:rPr>
        <w:t>We have entered into arrangements that contractually obligate us to make payments that will affect our liquidity and cash flows in future periods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Property Leases - Commenced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our contractual commitments for leases were $146.5 million, which will be paid over the term of such leases. For additional information on our leases and timing of future payments refer to Note 12 of the consolidated financial statements included in this Annual Report on Form 10-K. </w:t>
      </w:r>
    </w:p>
    <w:p>
      <w:pPr>
        <w:pStyle w:val="TextBody"/>
        <w:bidi w:val="0"/>
        <w:jc w:val="both"/>
        <w:rPr>
          <w:rFonts w:ascii="Times New Roman" w:hAnsi="Times New Roman"/>
          <w:i/>
          <w:color w:val="000000"/>
          <w:sz w:val="20"/>
        </w:rPr>
      </w:pPr>
      <w:r>
        <w:rPr>
          <w:rFonts w:ascii="Times New Roman" w:hAnsi="Times New Roman"/>
          <w:i/>
          <w:color w:val="000000"/>
          <w:sz w:val="20"/>
        </w:rPr>
        <w:t>Property Leases – Not Yet Commenced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2022, we entered into a lease agreement for office, general laboratory and planned good manufacturing practice (“GMP”) manufacturing space at 840 Winter Street in Waltham, Massachusetts, which is described in further detail in Note 12 of the consolidated financial statements included in this Annual Report on Form 10-K. In connection therewith, we have committed to making at least $146.0 million in rental payments over a lease term of 144 months estimated to begin in the second half of 2024.</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contracts in the normal course of business with various third parties for clinical trials, preclinical research studies, supply manufacturing and other services and products for operating purposes. These contracts are generally cancelable at any time by us upon prior written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include any potential future pass-through milestone payments or royalty payments we may be required to make under our existing license agreements or the merger agreement related to our acquisition of Rewrite due to the uncertainty of the occurrence of the events requiring payment under those agreements. These payments are not reflected in the disclosures above. In January 2023, a research milestone related to Rewrite was achieved and settled (see Note 11 of the consolidated financial statements included in this Annual Report on Form 10-K ).</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upon our consolidated financial statements, which have been prepared in accordance with accounting principles generally accepted in the U.S. The preparation of these consolidated financial statements requires us to make estimates, judgments and assumptions that affect the reported amounts of assets and liabilities and disclosures of contingent assets and liabilities as of the date of the balance sheets and the reported amounts of collaboration revenue and expenses during the reporting periods. We base our estimates on historical experience and on various other assumptions that we believe to be reasonable under the circumstances at the time such estimates are made. Actual results and outcomes may differ materially from our estimates, judgments and assumptions. We periodically review our estimates in light of changes in circumstances, facts and experience. The effects of material revisions in estimates are reflected in the consolidated financial statements prospectively from the date of the change in estimate. Refer to Note 2 to our consolidated financial statements of this Annual Report on Form 10-K for our significant accounting policies related to our critical accounting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define our critical accounting policies as those accounting principles generally accepted in the U.S. that require the most significant judgments and estimates about matters that are uncertain and are likely to have a material impact on our financial condition and results of operations as well as the specific manner in which we apply those principles. We believe the critical accounting policies used in the preparation of our consolidated financial statements which require significant estimates and judgments are as follows: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recognize revenue in accordance with Accounting Standards Update (“ASU”) 2014-09, </w:t>
      </w:r>
      <w:r>
        <w:rPr>
          <w:rFonts w:ascii="Times New Roman" w:hAnsi="Times New Roman"/>
          <w:i/>
          <w:color w:val="000000"/>
          <w:sz w:val="20"/>
        </w:rPr>
        <w:t>Revenue from Contracts with Customers (Topic 606)</w:t>
      </w:r>
      <w:r>
        <w:rPr>
          <w:rFonts w:ascii="Times New Roman" w:hAnsi="Times New Roman"/>
          <w:color w:val="000000"/>
          <w:sz w:val="20"/>
        </w:rPr>
        <w:t xml:space="preserve"> and its related amendments (collectively known as Accounting Standard Codification (“ASC”) 606 (“ASC 606”).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inception, we determine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we expect to be entitled to receive in exchange for these goods and services. To achieve this core principle, we apply the following five steps: (i) identify the contract with the customer; (ii) identify the performance obligations in the contract; (iii) determine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transaction price; (iv) allocate the transaction price to the performance obligations in the contract; and (v) recognize revenue when or as we satisfy a performance obligation. We only apply the five-step model to contracts when we determine that collection of substantially all consideration for goods and services that are transferred is probable based on the customer’s intent and ability to pay the promised consideration.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of December 31, 2023, our revenue recognized is solely related to collaboration agreements with third parties which are either within the scope of ASC 606, under which we license certain rights to our product candidates to third parties, or within the scope of ASC 808, </w:t>
      </w:r>
      <w:r>
        <w:rPr>
          <w:rFonts w:ascii="Times New Roman" w:hAnsi="Times New Roman"/>
          <w:i/>
          <w:color w:val="000000"/>
          <w:sz w:val="20"/>
        </w:rPr>
        <w:t>Collaborative Arrangements</w:t>
      </w:r>
      <w:r>
        <w:rPr>
          <w:rFonts w:ascii="Times New Roman" w:hAnsi="Times New Roman"/>
          <w:color w:val="000000"/>
          <w:sz w:val="20"/>
        </w:rPr>
        <w:t xml:space="preserve"> (“ASC 808”) if it involves a joint operating activity pursuant to which we are an active participant and are exposed to significant risks and rewards with respect to the arrangement. As discussed in further detail in Note 9 to our consolidated financial statements of this Annual Report on Form 10-K, we enter into out-licensing agreements which are within the scope of ASC 606, under which we license certain rights to our product candidates to third parties and may provide services related to the research and development of the product candidates. The terms of these arrangements typically include consideration payable to us of one or more of the following: nonrefundable, upfront fees; development, regulatory, and commercial milestone payments; research and development funding payments; and royalties on the net sales of licensed products. Additionally, the terms of certain arrangements may include an equity interest in the other company. Consideration received from each of these payments results in collaboration revenues, except for revenues from royalties on the net sales of licensed products, which are classified as royalty revenues. For arrangements within the scope of ASC 808, the terms of these arrangements typically include payments received or made under the cost sharing provisions which are recognized as a component of collaboration revenues in the consolidated statements of operations and comprehensive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determining the accounting for each contract, the significant areas of management judgment or estimation include the determination of accounting for contract changes as modifications and whether those are separate and distinct or part of a partially satisfied performance obligation, determining the transaction price, identifying the distinct performance obligations within a contract, determining the standalone selling prices for distinct performance obligations when more than one distinct performance obligation is identified within a contract and determining the revenue recognition pattern for each performance obligation that best reflects the timing of when we transfer control of goods and services to the customer. If the consideration received in exchange for entering into a contract is in the form of noncash consideration, we are required to estimate the fair value of the noncash consideration received. If our estimates of the noncash consideration received are not appropriate it could impact the total amount of revenue recognized for the contract. Furthermore, many of our performance obligations, whether distinct or combined, do not have readily available standalone selling prices and therefore we are required to make judgments and estimates regarding the standalone selling prices when relevant. To the extent the estimates are not appropriate in the circumstances, it could impact the timing of our revenue recognition. We evaluate the measure of progress each reporting period and if estimates related to the measure of progress change, related revenue recognition is adjusted accordingly.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Accrued Research and Development Expenses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vendors in connection with clinical research organizations (“CROs”) in connection with clinical studies, vendors in connection with preclinical development activities and vendors related to development, manufacturing and distribution of clinical trial materials.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base our expenses related to preclinical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measure employee stock-based compensation based on the grant date fair value of the equity awards using the Black-Scholes option pricing model. Stock-based compensation expense is recognized on a straight-line basis over the requisite service period of the awards and is adjusted for pre-vesting forfeitures in the period in which the forfeitures occur. For equity awards that have a performance or market condition, we recognize stock-based compensation expense using the accelerated attribution method. Estimates of stock-based compensation expense for an award with a performance condition are based on our assessment of the probability that the performance condition will be achieved. Our stock price is a key input that will drive the grant date fair value of the equity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judgments made with respect to stock-based compensation relate to certain assumptions made when selecting model inputs used in the Black-Scholes option pricing model, in particular the volatility and expected life assumptions. Volatility assumptions are calculated based on historical volatility of the Company’s stock. We estimate the expected term of options using the simplified method. In addition, an expected dividend yield of zero is used in the option valuation model because we do not pay cash dividends and do not expect to pay any cash dividends in the foreseeable future. The fair value of market-based restricted stock units is determined using a Monte Carlo simulation model, which uses multiple input variables to determine the probability of satisfying the market condition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Stock-based compensation expense for an award with performance conditions also include significant judgment with respect to the probability that the performance condition will be achieved, as the amount of expense recorded is based on the probable outcome of the performance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classify stock-based compensation expense in our consolidated statements of operations and comprehensive loss in the same manner in which the award recipient’s salary and related costs are classified or in which the award recipient’s service payments are classified.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Refer to Note 2 to our consolidated financial statements included in Part IV, Item 15, “Notes to Consolidated Financial Statements,” of this Annual Report on Form 10-K for a description of recent accounting pronouncements applicable to our business.</w:t>
      </w:r>
    </w:p>
    <w:p>
      <w:pPr>
        <w:pStyle w:val="TextBody"/>
        <w:bidi w:val="0"/>
        <w:spacing w:before="240" w:after="283"/>
        <w:jc w:val="both"/>
        <w:rPr>
          <w:rFonts w:ascii="Times New Roman" w:hAnsi="Times New Roman"/>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market risk inherent in our financial instruments and in our financial position represents the potential loss arising from adverse changes in interest rates. As of December 31, 2023, we had cash equivalents, restricted cash equivalents and marketable securities of $921.6</w:t>
      </w:r>
      <w:r>
        <w:rPr>
          <w:rFonts w:ascii="Times New Roman" w:hAnsi="Times New Roman"/>
          <w:color w:val="FF0000"/>
          <w:sz w:val="20"/>
        </w:rPr>
        <w:t xml:space="preserve"> </w:t>
      </w:r>
      <w:r>
        <w:rPr>
          <w:rFonts w:ascii="Times New Roman" w:hAnsi="Times New Roman"/>
          <w:color w:val="000000"/>
          <w:sz w:val="20"/>
        </w:rPr>
        <w:t xml:space="preserve">million consisting of interest-bearing money market accounts, corporate and financial institution debt securities, U.S. Treasury and other government securities and asset-backed securities. Our primary exposure to market risk is interest rate sensitivity, which is affected by changes in the general level of U.S. interest rates, particularly because our investments are primarily in marketable securities. Due to the short-term duration of our investment portfolios and the low risk profile of our investments, we do not believe an immediate change of 100 basis points, or one percentage point, would have a material effect on the fair market value of our investment portfolio. Declines in interest rates, however, would reduce future investment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any foreign currency or derivative financial instruments. Inflation generally affects us by increasing our cost of labor, preclinical and clinical trial costs. We do not believe that inflation had a material effect on our results of operations during the year ended December 31, 2023.</w:t>
      </w:r>
    </w:p>
    <w:p>
      <w:pPr>
        <w:pStyle w:val="TextBody"/>
        <w:bidi w:val="0"/>
        <w:spacing w:before="240" w:after="283"/>
        <w:jc w:val="both"/>
        <w:rPr>
          <w:rFonts w:ascii="Times New Roman" w:hAnsi="Times New Roman"/>
          <w:sz w:val="20"/>
        </w:rPr>
      </w:pPr>
      <w:bookmarkStart w:id="15" w:name="item_8_financial_statements_supplementar"/>
      <w:bookmarkEnd w:id="15"/>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presented at the end of this report beginning on page F-1. </w:t>
      </w:r>
    </w:p>
    <w:p>
      <w:pPr>
        <w:pStyle w:val="TextBody"/>
        <w:bidi w:val="0"/>
        <w:spacing w:before="240" w:after="283"/>
        <w:jc w:val="both"/>
        <w:rPr>
          <w:rFonts w:ascii="Times New Roman" w:hAnsi="Times New Roman"/>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7" w:name="item_9a_controls_procedures"/>
      <w:bookmarkEnd w:id="17"/>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established disclosure controls and procedures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under the supervision and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2023.</w:t>
      </w:r>
    </w:p>
    <w:p>
      <w:pPr>
        <w:pStyle w:val="TextBody"/>
        <w:bidi w:val="0"/>
        <w:spacing w:before="240" w:after="283"/>
        <w:jc w:val="both"/>
        <w:rPr>
          <w:rFonts w:ascii="Times New Roman" w:hAnsi="Times New Roman"/>
          <w:sz w:val="20"/>
        </w:rPr>
      </w:pPr>
      <w:r>
        <w:rPr>
          <w:rFonts w:ascii="Times New Roman" w:hAnsi="Times New Roman"/>
          <w:b/>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the assets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management assessed the effectiveness of our internal control over financial reporting as of December 31, 2023. In making this assessment, management used the criteria set forth by the Committee of Sponsoring Organizations of the Treadway Commission in </w:t>
      </w:r>
      <w:r>
        <w:rPr>
          <w:rFonts w:ascii="Times New Roman" w:hAnsi="Times New Roman"/>
          <w:i/>
          <w:color w:val="000000"/>
          <w:sz w:val="20"/>
        </w:rPr>
        <w:t xml:space="preserve">Internal Control—Integrated Framework </w:t>
      </w:r>
      <w:r>
        <w:rPr>
          <w:rFonts w:ascii="Times New Roman" w:hAnsi="Times New Roman"/>
          <w:color w:val="000000"/>
          <w:sz w:val="20"/>
        </w:rPr>
        <w:t>(2013 framework) (“COSO”). Based on its assessment, management believes that, as of December 31, 2023, our internal control over financial reporting is effective based on those criteria.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Deloitte &amp; Touche LLP, our independent registered public accounting firm, has issued an attestation report on the effectiveness of our internal control over financial reporting, which is included below.</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change in the Company’s internal control over financial reporting (as defined in Rules 13a-15(f) and 15d-15(f) under the Exchange Act) occurred during the three months ended December 31, 2023 that has materially affected, or is reasonably likely to materially affect, the Company’s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stockholders and the Board of Directors of Intellia Therapeutics, Inc.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the internal control over financial reporting of Intellia Therapeutics, Inc. and subsidiary (the “Company”)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 on those financial statements.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22,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8" w:name="item_9b_o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December 31, 2023, none of the Company’s directors or officers adopted, materially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240" w:after="283"/>
        <w:jc w:val="both"/>
        <w:rPr>
          <w:rFonts w:ascii="Times New Roman" w:hAnsi="Times New Roman"/>
          <w:b/>
          <w:color w:val="000000"/>
          <w:sz w:val="20"/>
        </w:rPr>
      </w:pPr>
      <w:bookmarkStart w:id="19" w:name="item_9c_foreign_jurisdictions"/>
      <w:bookmarkEnd w:id="19"/>
      <w:r>
        <w:rPr>
          <w:rFonts w:ascii="Times New Roman" w:hAnsi="Times New Roman"/>
          <w:b/>
          <w:color w:val="000000"/>
          <w:sz w:val="20"/>
        </w:rPr>
        <w:t>Item 9C. 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part_iii"/>
      <w:bookmarkEnd w:id="20"/>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information required by Part III is omitted from this Annual Report on Form 10-K and is incorporated by reference from our definitive proxy statement to be filed with the SEC with respect to our 2024 Annual Meeting of Stockholders, pursuant to Regulation 14A of the Securities Exchange Act of 1934, as amended, which we expect to file with the SEC no later than April 29, 2024. </w:t>
      </w:r>
    </w:p>
    <w:p>
      <w:pPr>
        <w:pStyle w:val="TextBody"/>
        <w:bidi w:val="0"/>
        <w:spacing w:before="240" w:after="283"/>
        <w:jc w:val="both"/>
        <w:rPr>
          <w:rFonts w:ascii="Times New Roman" w:hAnsi="Times New Roman"/>
          <w:sz w:val="20"/>
        </w:rPr>
      </w:pPr>
      <w:bookmarkStart w:id="21" w:name="item_10_directors_executive_ficers_corpo"/>
      <w:bookmarkEnd w:id="21"/>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Information regarding our directors, including the audit committee and audit committee financial experts, and executive officers and compliance with Section 16(a) of the Exchange Act will be included in our 2024 Proxy Statement and is incorporated herein by reference.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adopted a Code of Business, Conduct and Ethics for all of our directors, officers and employees as required by Nasdaq governance rules and as defined by applicable SEC rules. Stockholders may locate a copy of our Code of Business Conduct and Ethics on our website at www.intelliatx.com or request a copy without charge from: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Intellia Therapeutics, Inc. </w:t>
      </w:r>
    </w:p>
    <w:p>
      <w:pPr>
        <w:pStyle w:val="TextBody"/>
        <w:bidi w:val="0"/>
        <w:jc w:val="both"/>
        <w:rPr>
          <w:rFonts w:ascii="Times New Roman" w:hAnsi="Times New Roman"/>
          <w:color w:val="000000"/>
          <w:sz w:val="20"/>
        </w:rPr>
      </w:pPr>
      <w:r>
        <w:rPr>
          <w:rFonts w:ascii="Times New Roman" w:hAnsi="Times New Roman"/>
          <w:color w:val="000000"/>
          <w:sz w:val="20"/>
        </w:rPr>
        <w:t xml:space="preserve">Attention: Investor Relations </w:t>
      </w:r>
    </w:p>
    <w:p>
      <w:pPr>
        <w:pStyle w:val="TextBody"/>
        <w:bidi w:val="0"/>
        <w:jc w:val="both"/>
        <w:rPr>
          <w:rFonts w:ascii="Times New Roman" w:hAnsi="Times New Roman"/>
          <w:color w:val="000000"/>
          <w:sz w:val="20"/>
        </w:rPr>
      </w:pPr>
      <w:r>
        <w:rPr>
          <w:rFonts w:ascii="Times New Roman" w:hAnsi="Times New Roman"/>
          <w:color w:val="000000"/>
          <w:sz w:val="20"/>
        </w:rPr>
        <w:t xml:space="preserve">40 Erie Street, Suite 130 </w:t>
      </w:r>
    </w:p>
    <w:p>
      <w:pPr>
        <w:pStyle w:val="TextBody"/>
        <w:bidi w:val="0"/>
        <w:jc w:val="both"/>
        <w:rPr>
          <w:rFonts w:ascii="Times New Roman" w:hAnsi="Times New Roman"/>
          <w:color w:val="000000"/>
          <w:sz w:val="20"/>
        </w:rPr>
      </w:pPr>
      <w:r>
        <w:rPr>
          <w:rFonts w:ascii="Times New Roman" w:hAnsi="Times New Roman"/>
          <w:color w:val="000000"/>
          <w:sz w:val="20"/>
        </w:rPr>
        <w:t xml:space="preserve">Cambridge, MA 02139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post to our website any amendments to the Code of Business, Conduct and Ethics, and any waivers that are required to be disclosed by the rules of either the SEC or Nasdaq. </w:t>
      </w:r>
    </w:p>
    <w:p>
      <w:pPr>
        <w:pStyle w:val="TextBody"/>
        <w:bidi w:val="0"/>
        <w:spacing w:before="240" w:after="283"/>
        <w:jc w:val="both"/>
        <w:rPr>
          <w:rFonts w:ascii="Times New Roman" w:hAnsi="Times New Roman"/>
          <w:sz w:val="20"/>
        </w:rPr>
      </w:pPr>
      <w:bookmarkStart w:id="22" w:name="item_11_executive_compensation"/>
      <w:bookmarkEnd w:id="22"/>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regarding executive compensation will be included in our definitive proxy statement to be filed with the SEC with respect to our 2024 Annual Meeting of Stockholders and is incorporated herein by reference. </w:t>
      </w:r>
    </w:p>
    <w:p>
      <w:pPr>
        <w:pStyle w:val="TextBody"/>
        <w:bidi w:val="0"/>
        <w:spacing w:before="240" w:after="283"/>
        <w:jc w:val="both"/>
        <w:rPr>
          <w:rFonts w:ascii="Times New Roman" w:hAnsi="Times New Roman"/>
          <w:sz w:val="20"/>
        </w:rPr>
      </w:pPr>
      <w:bookmarkStart w:id="23" w:name="item_12_security_ownership_certain_benef"/>
      <w:bookmarkEnd w:id="23"/>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regarding security ownership of certain beneficial owners and management and securities authorized for issuance under equity compensation plans will be included in our definitive proxy statement to be filed with the SEC with respect to our 2024 Annual Meeting of Stockholders and is incorporated herein by reference. </w:t>
      </w:r>
    </w:p>
    <w:p>
      <w:pPr>
        <w:pStyle w:val="TextBody"/>
        <w:bidi w:val="0"/>
        <w:spacing w:before="240" w:after="283"/>
        <w:jc w:val="both"/>
        <w:rPr>
          <w:rFonts w:ascii="Times New Roman" w:hAnsi="Times New Roman"/>
          <w:sz w:val="20"/>
        </w:rPr>
      </w:pPr>
      <w:bookmarkStart w:id="24" w:name="item_13_certain_relationships_related_tr"/>
      <w:bookmarkEnd w:id="24"/>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regarding certain relationships and related transactions and director independence will be included in our definitive proxy statement to be filed with the SEC with respect to our 2024 Annual Meeting of Stockholders and is incorporated herein by reference. </w:t>
      </w:r>
    </w:p>
    <w:p>
      <w:pPr>
        <w:pStyle w:val="TextBody"/>
        <w:bidi w:val="0"/>
        <w:spacing w:before="240" w:after="283"/>
        <w:jc w:val="both"/>
        <w:rPr>
          <w:rFonts w:ascii="Times New Roman" w:hAnsi="Times New Roman"/>
          <w:sz w:val="20"/>
        </w:rPr>
      </w:pPr>
      <w:bookmarkStart w:id="25" w:name="item_14_principal_accounting_fees_servic"/>
      <w:bookmarkEnd w:id="25"/>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about aggregate fees billed to us by our independent principal accountant, Deloitte &amp; Touche LLP (PCAOB ID No. 34), located in Boston, Massachusetts, will be presented in our definitive proxy statement to be filed with the SEC with respect to our 2024 Annual Meeting of Stockholders under the caption “Audit Committee Matters — Principal Accounting Firm Fees” and is incorporated herein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part_iv"/>
      <w:bookmarkEnd w:id="26"/>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27" w:name="item_15_exhibits_financial_statement_sch"/>
      <w:bookmarkEnd w:id="27"/>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documents are included in this Annual Report on Form 10-K: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Report and Consolidated Financial Statements of the Company are included in this Annual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 of Independent Registered Public Accounting Firm (PCAOB ID No.34)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Consolidated Balance Sheets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Consolidated Statements of Operations and 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Consolidated Statements of 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Consolidated Statements of Cash Flows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Notes to Consolidated Financial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financial schedules have been omitted because the required information is either presented in the consolidated financial statements or the notes thereto or is not applicable or required.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 </w:t>
      </w:r>
    </w:p>
    <w:p>
      <w:pPr>
        <w:pStyle w:val="TextBody"/>
        <w:bidi w:val="0"/>
        <w:spacing w:before="240" w:after="283"/>
        <w:jc w:val="both"/>
        <w:rPr>
          <w:rFonts w:ascii="Times New Roman" w:hAnsi="Times New Roman"/>
          <w:sz w:val="20"/>
        </w:rPr>
      </w:pPr>
      <w:bookmarkStart w:id="28" w:name="item_16_form_10k_summary"/>
      <w:bookmarkEnd w:id="28"/>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elected not to include summary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INDEX TO CONSOLIDATED FINANCIAL STATEMENTS</w:t>
      </w:r>
    </w:p>
    <w:tbl>
      <w:tblPr>
        <w:tblW w:w="7202" w:type="dxa"/>
        <w:jc w:val="left"/>
        <w:tblInd w:w="0" w:type="dxa"/>
        <w:tblLayout w:type="fixed"/>
        <w:tblCellMar>
          <w:top w:w="28" w:type="dxa"/>
          <w:left w:w="28" w:type="dxa"/>
          <w:bottom w:w="28" w:type="dxa"/>
          <w:right w:w="28" w:type="dxa"/>
        </w:tblCellMar>
      </w:tblPr>
      <w:tblGrid>
        <w:gridCol w:w="6451"/>
        <w:gridCol w:w="751"/>
      </w:tblGrid>
      <w:tr>
        <w:trPr/>
        <w:tc>
          <w:tcPr>
            <w:tcW w:w="64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6451" w:type="dxa"/>
            <w:tcBorders/>
            <w:vAlign w:val="center"/>
          </w:tcPr>
          <w:p>
            <w:pPr>
              <w:pStyle w:val="TableContents"/>
              <w:bidi w:val="0"/>
              <w:spacing w:before="0" w:after="283"/>
              <w:jc w:val="left"/>
              <w:rPr>
                <w:sz w:val="4"/>
                <w:szCs w:val="4"/>
              </w:rPr>
            </w:pPr>
            <w:r>
              <w:rPr>
                <w:sz w:val="4"/>
                <w:szCs w:val="4"/>
              </w:rPr>
            </w:r>
          </w:p>
        </w:tc>
        <w:tc>
          <w:tcPr>
            <w:tcW w:w="7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6451" w:type="dxa"/>
            <w:tcBorders/>
            <w:vAlign w:val="center"/>
          </w:tcPr>
          <w:p>
            <w:pPr>
              <w:pStyle w:val="TableContents"/>
              <w:pBdr/>
              <w:bidi w:val="0"/>
              <w:spacing w:before="0" w:after="283"/>
              <w:ind w:left="0" w:right="0" w:hanging="240"/>
              <w:jc w:val="left"/>
              <w:rPr/>
            </w:pPr>
            <w:hyperlink w:anchor="report_accountants">
              <w:r>
                <w:rPr>
                  <w:rStyle w:val="InternetLink"/>
                  <w:rFonts w:ascii="Times New Roman" w:hAnsi="Times New Roman"/>
                  <w:color w:val="000000"/>
                  <w:sz w:val="20"/>
                </w:rPr>
                <w:t>Report of Independent Registered Public Accounting Firm (PCAOB ID No.34)</w:t>
              </w:r>
            </w:hyperlink>
          </w:p>
        </w:tc>
        <w:tc>
          <w:tcPr>
            <w:tcW w:w="75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w:t>
            </w:r>
          </w:p>
        </w:tc>
      </w:tr>
      <w:tr>
        <w:trPr/>
        <w:tc>
          <w:tcPr>
            <w:tcW w:w="6451" w:type="dxa"/>
            <w:tcBorders/>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00"/>
                  <w:sz w:val="20"/>
                </w:rPr>
                <w:t>Consolidated Balance Sheets</w:t>
              </w:r>
            </w:hyperlink>
          </w:p>
        </w:tc>
        <w:tc>
          <w:tcPr>
            <w:tcW w:w="75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F-3</w:t>
            </w:r>
          </w:p>
        </w:tc>
      </w:tr>
      <w:tr>
        <w:trPr/>
        <w:tc>
          <w:tcPr>
            <w:tcW w:w="6451" w:type="dxa"/>
            <w:tcBorders/>
            <w:vAlign w:val="center"/>
          </w:tcPr>
          <w:p>
            <w:pPr>
              <w:pStyle w:val="TableContents"/>
              <w:pBdr/>
              <w:bidi w:val="0"/>
              <w:spacing w:before="0" w:after="283"/>
              <w:ind w:left="0" w:right="0" w:hanging="240"/>
              <w:jc w:val="left"/>
              <w:rPr/>
            </w:pPr>
            <w:hyperlink w:anchor="consolidated_statements_of_operations">
              <w:r>
                <w:rPr>
                  <w:rStyle w:val="InternetLink"/>
                  <w:rFonts w:ascii="Times New Roman" w:hAnsi="Times New Roman"/>
                  <w:color w:val="000000"/>
                  <w:sz w:val="20"/>
                </w:rPr>
                <w:t>Consolidated Statements of Operations and Comprehensive Loss</w:t>
              </w:r>
            </w:hyperlink>
          </w:p>
        </w:tc>
        <w:tc>
          <w:tcPr>
            <w:tcW w:w="75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6451" w:type="dxa"/>
            <w:tcBorders/>
            <w:vAlign w:val="center"/>
          </w:tcPr>
          <w:p>
            <w:pPr>
              <w:pStyle w:val="TableContents"/>
              <w:pBdr/>
              <w:bidi w:val="0"/>
              <w:spacing w:before="0" w:after="283"/>
              <w:ind w:left="0" w:right="0" w:hanging="240"/>
              <w:jc w:val="left"/>
              <w:rPr/>
            </w:pPr>
            <w:hyperlink w:anchor="consol_stmts_of_stockholders_equity">
              <w:r>
                <w:rPr>
                  <w:rStyle w:val="InternetLink"/>
                  <w:rFonts w:ascii="Times New Roman" w:hAnsi="Times New Roman"/>
                  <w:color w:val="000000"/>
                  <w:sz w:val="20"/>
                </w:rPr>
                <w:t>Consolidated Statements of Stockholders’ Equity</w:t>
              </w:r>
            </w:hyperlink>
          </w:p>
        </w:tc>
        <w:tc>
          <w:tcPr>
            <w:tcW w:w="75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6451" w:type="dxa"/>
            <w:tcBorders/>
            <w:vAlign w:val="center"/>
          </w:tcPr>
          <w:p>
            <w:pPr>
              <w:pStyle w:val="TableContents"/>
              <w:pBdr/>
              <w:bidi w:val="0"/>
              <w:spacing w:before="0" w:after="283"/>
              <w:ind w:left="0" w:right="0" w:hanging="240"/>
              <w:jc w:val="left"/>
              <w:rPr/>
            </w:pPr>
            <w:hyperlink w:anchor="consol_stmts_of_cash_flows">
              <w:r>
                <w:rPr>
                  <w:rStyle w:val="InternetLink"/>
                  <w:rFonts w:ascii="Times New Roman" w:hAnsi="Times New Roman"/>
                  <w:color w:val="000000"/>
                  <w:sz w:val="20"/>
                </w:rPr>
                <w:t>Consolidated Statements of Cash Flows</w:t>
              </w:r>
            </w:hyperlink>
          </w:p>
        </w:tc>
        <w:tc>
          <w:tcPr>
            <w:tcW w:w="75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6451" w:type="dxa"/>
            <w:tcBorders/>
            <w:vAlign w:val="center"/>
          </w:tcPr>
          <w:p>
            <w:pPr>
              <w:pStyle w:val="TableContents"/>
              <w:pBdr/>
              <w:bidi w:val="0"/>
              <w:spacing w:before="0" w:after="283"/>
              <w:ind w:left="0" w:right="0" w:hanging="240"/>
              <w:jc w:val="left"/>
              <w:rPr/>
            </w:pPr>
            <w:hyperlink w:anchor="notes_to_consolidated_financial_statemen">
              <w:r>
                <w:rPr>
                  <w:rStyle w:val="InternetLink"/>
                  <w:rFonts w:ascii="Times New Roman" w:hAnsi="Times New Roman"/>
                  <w:color w:val="000000"/>
                  <w:sz w:val="20"/>
                </w:rPr>
                <w:t>Notes to Consolidated Financial Statements</w:t>
              </w:r>
            </w:hyperlink>
          </w:p>
        </w:tc>
        <w:tc>
          <w:tcPr>
            <w:tcW w:w="75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F-7</w:t>
            </w:r>
          </w:p>
        </w:tc>
      </w:tr>
      <w:tr>
        <w:trPr/>
        <w:tc>
          <w:tcPr>
            <w:tcW w:w="6451" w:type="dxa"/>
            <w:tcBorders/>
            <w:vAlign w:val="center"/>
          </w:tcPr>
          <w:p>
            <w:pPr>
              <w:pStyle w:val="TableContents"/>
              <w:pBdr/>
              <w:bidi w:val="0"/>
              <w:spacing w:before="0" w:after="283"/>
              <w:ind w:left="0" w:right="0" w:hanging="240"/>
              <w:jc w:val="left"/>
              <w:rPr/>
            </w:pPr>
            <w:r>
              <w:rPr/>
              <w:t> </w:t>
            </w:r>
          </w:p>
        </w:tc>
        <w:tc>
          <w:tcPr>
            <w:tcW w:w="751" w:type="dxa"/>
            <w:tcBorders/>
            <w:vAlign w:val="center"/>
          </w:tcPr>
          <w:p>
            <w:pPr>
              <w:pStyle w:val="TableContents"/>
              <w:bidi w:val="0"/>
              <w:spacing w:before="0" w:after="20"/>
              <w:jc w:val="right"/>
              <w:rPr/>
            </w:pPr>
            <w:r>
              <w:rPr/>
              <w:t> </w:t>
            </w:r>
          </w:p>
        </w:tc>
      </w:tr>
    </w:tbl>
    <w:p>
      <w:pPr>
        <w:pStyle w:val="TextBody"/>
        <w:bidi w:val="0"/>
        <w:jc w:val="left"/>
        <w:rPr/>
      </w:pPr>
      <w:r>
        <w:rPr/>
        <w:t> </w:t>
      </w:r>
    </w:p>
    <w:p>
      <w:pPr>
        <w:pStyle w:val="TextBody"/>
        <w:bidi w:val="0"/>
        <w:jc w:val="left"/>
        <w:rPr>
          <w:rFonts w:ascii="Times New Roman" w:hAnsi="Times New Roman"/>
          <w:sz w:val="20"/>
        </w:rPr>
      </w:pPr>
      <w:bookmarkStart w:id="29" w:name="report_accountants"/>
      <w:bookmarkEnd w:id="29"/>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and the Board of Directors of Intellia Therapeutics,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Intellia Therapeutics, Inc. and subsidiary (the “Company”) as of December 31, 2023 and 2022, the related consolidated statements of operations and comprehensive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22, 2024, expressed an unqualified opinion on the Company’s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 — Collaboration Arrangements – Refer to Note 9 to the financial statements</w:t>
      </w:r>
      <w:r>
        <w:rPr>
          <w:rFonts w:ascii="Times New Roman" w:hAnsi="Times New Roman"/>
          <w:i/>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collaboration revenue on license and collaboration agreements as they fulfill their performance obligations and transfer control of goods and services to the customer. During 2023, a customer exercised an extension (the “Extension”) for one of the customer's collaboration agreements, which resulted in management applying judgment in determining the accounting for the modified agreement, and in particular, in identifying if the promised performance obligations were distinct.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Auditing the Company’s accounting for revenues pertaining to the Extension required an increased extent of effort and a high degree of auditor judgment, due to the complex and judgmental nature of evaluating the terms and assumptions of the related Extension and the appropriate accounting for the modification under the guidance in ASC 606, </w:t>
      </w:r>
      <w:r>
        <w:rPr>
          <w:rFonts w:ascii="Times New Roman" w:hAnsi="Times New Roman"/>
          <w:i/>
          <w:color w:val="000000"/>
          <w:sz w:val="20"/>
        </w:rPr>
        <w:t>Revenue from Contracts with Customers</w:t>
      </w:r>
      <w:r>
        <w:rPr>
          <w:rFonts w:ascii="Times New Roman" w:hAnsi="Times New Roman"/>
          <w:color w:val="000000"/>
          <w:sz w:val="20"/>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audit procedures related to the Company’s revenue recognition for the Extension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effectiveness of controls over the Company’s processes for assessing the accounting treatment of modifications to existing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Obtained and read the Extension agreement along with the original and amended collaboration agreements and the Company’s accounting position paper for the Extension.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tested and evaluated, among other things, the performance obligations identified and the Company’s conclusion that the promised goods and services under the Extension are not distinct from the combined performance obligations identified in the existing arrangement.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Performed corroborative inquiries with those overseeing the work relating to the Extension.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mathematical accuracy of management’s calculations of revenue and the associated timing of revenue recognized in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Massachusetts</w:t>
        <w:br/>
        <w:t>February 22, 2024</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INTELLIA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0" w:name="consolidated_balance_sheets"/>
      <w:bookmarkEnd w:id="30"/>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data)</w:t>
      </w:r>
      <w:r>
        <w:rPr>
          <w:rFonts w:ascii="Times New Roman" w:hAnsi="Times New Roman"/>
          <w:color w:val="000000"/>
          <w:sz w:val="20"/>
        </w:rPr>
        <w:t xml:space="preserve"> </w:t>
      </w:r>
    </w:p>
    <w:p>
      <w:pPr>
        <w:pStyle w:val="TextBody"/>
        <w:bidi w:val="0"/>
        <w:jc w:val="left"/>
        <w:rPr/>
      </w:pPr>
      <w:r>
        <w:rPr/>
        <w:t> </w:t>
      </w:r>
    </w:p>
    <w:tbl>
      <w:tblPr>
        <w:tblW w:w="9625" w:type="dxa"/>
        <w:jc w:val="left"/>
        <w:tblInd w:w="0" w:type="dxa"/>
        <w:tblLayout w:type="fixed"/>
        <w:tblCellMar>
          <w:top w:w="28" w:type="dxa"/>
          <w:left w:w="28" w:type="dxa"/>
          <w:bottom w:w="28" w:type="dxa"/>
          <w:right w:w="28" w:type="dxa"/>
        </w:tblCellMar>
      </w:tblPr>
      <w:tblGrid>
        <w:gridCol w:w="6186"/>
        <w:gridCol w:w="146"/>
        <w:gridCol w:w="214"/>
        <w:gridCol w:w="971"/>
        <w:gridCol w:w="166"/>
        <w:gridCol w:w="146"/>
        <w:gridCol w:w="214"/>
        <w:gridCol w:w="971"/>
        <w:gridCol w:w="611"/>
      </w:tblGrid>
      <w:tr>
        <w:trPr/>
        <w:tc>
          <w:tcPr>
            <w:tcW w:w="6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December 31, </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December 31, </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4" w:type="dxa"/>
            <w:gridSpan w:val="8"/>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61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523,506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669,116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receivable ($0.2</w:t>
            </w:r>
            <w:r>
              <w:rPr>
                <w:rFonts w:ascii="Times New Roman" w:hAnsi="Times New Roman"/>
                <w:color w:val="000000"/>
                <w:sz w:val="20"/>
              </w:rPr>
              <w:t> </w:t>
            </w:r>
            <w:r>
              <w:rPr>
                <w:rFonts w:ascii="Times New Roman" w:hAnsi="Times New Roman"/>
                <w:color w:val="000000"/>
                <w:sz w:val="18"/>
              </w:rPr>
              <w:t>million and $0.3</w:t>
            </w:r>
            <w:r>
              <w:rPr>
                <w:rFonts w:ascii="Times New Roman" w:hAnsi="Times New Roman"/>
                <w:color w:val="000000"/>
                <w:sz w:val="20"/>
              </w:rPr>
              <w:t> </w:t>
            </w:r>
            <w:r>
              <w:rPr>
                <w:rFonts w:ascii="Times New Roman" w:hAnsi="Times New Roman"/>
                <w:color w:val="000000"/>
                <w:sz w:val="18"/>
              </w:rPr>
              <w:t>million, respectively,</w:t>
              <w:br/>
              <w:t>    from related party)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1,216,797</w:t>
            </w:r>
          </w:p>
        </w:tc>
        <w:tc>
          <w:tcPr>
            <w:tcW w:w="61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 - noncurrent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69,338</w:t>
            </w:r>
          </w:p>
        </w:tc>
        <w:tc>
          <w:tcPr>
            <w:tcW w:w="61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27,921</w:t>
            </w:r>
          </w:p>
        </w:tc>
        <w:tc>
          <w:tcPr>
            <w:tcW w:w="61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133,076</w:t>
            </w:r>
          </w:p>
        </w:tc>
        <w:tc>
          <w:tcPr>
            <w:tcW w:w="61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32,455</w:t>
            </w:r>
          </w:p>
        </w:tc>
        <w:tc>
          <w:tcPr>
            <w:tcW w:w="61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and other assets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1,520,114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014" w:type="dxa"/>
            <w:gridSpan w:val="8"/>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61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Accrued expenses ($1.0</w:t>
            </w:r>
            <w:r>
              <w:rPr>
                <w:rFonts w:ascii="Times New Roman" w:hAnsi="Times New Roman"/>
                <w:color w:val="000000"/>
                <w:sz w:val="20"/>
              </w:rPr>
              <w:t> </w:t>
            </w:r>
            <w:r>
              <w:rPr>
                <w:rFonts w:ascii="Times New Roman" w:hAnsi="Times New Roman"/>
                <w:color w:val="000000"/>
                <w:sz w:val="18"/>
              </w:rPr>
              <w:t>million and $1.6</w:t>
            </w:r>
            <w:r>
              <w:rPr>
                <w:rFonts w:ascii="Times New Roman" w:hAnsi="Times New Roman"/>
                <w:color w:val="000000"/>
                <w:sz w:val="20"/>
              </w:rPr>
              <w:t> </w:t>
            </w:r>
            <w:r>
              <w:rPr>
                <w:rFonts w:ascii="Times New Roman" w:hAnsi="Times New Roman"/>
                <w:color w:val="000000"/>
                <w:sz w:val="18"/>
              </w:rPr>
              <w:t>million, respectively, from related party)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60,876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Current portion of deferred revenue ($0</w:t>
            </w:r>
            <w:r>
              <w:rPr>
                <w:rFonts w:ascii="Times New Roman" w:hAnsi="Times New Roman"/>
                <w:color w:val="000000"/>
                <w:sz w:val="20"/>
              </w:rPr>
              <w:t> </w:t>
            </w:r>
            <w:r>
              <w:rPr>
                <w:rFonts w:ascii="Times New Roman" w:hAnsi="Times New Roman"/>
                <w:color w:val="000000"/>
                <w:sz w:val="18"/>
              </w:rPr>
              <w:t>and $19.9</w:t>
            </w:r>
            <w:r>
              <w:rPr>
                <w:rFonts w:ascii="Times New Roman" w:hAnsi="Times New Roman"/>
                <w:color w:val="000000"/>
                <w:sz w:val="20"/>
              </w:rPr>
              <w:t> </w:t>
            </w:r>
            <w:r>
              <w:rPr>
                <w:rFonts w:ascii="Times New Roman" w:hAnsi="Times New Roman"/>
                <w:color w:val="000000"/>
                <w:sz w:val="18"/>
              </w:rPr>
              <w:t>million, respectively,</w:t>
              <w:br/>
              <w:t>    from related party)</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126,554</w:t>
            </w:r>
          </w:p>
        </w:tc>
        <w:tc>
          <w:tcPr>
            <w:tcW w:w="61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19,932</w:t>
            </w:r>
          </w:p>
        </w:tc>
        <w:tc>
          <w:tcPr>
            <w:tcW w:w="611" w:type="dxa"/>
            <w:tcBorders/>
            <w:shd w:fill="CFF0FC" w:val="cle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liability</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114,018</w:t>
            </w:r>
          </w:p>
        </w:tc>
        <w:tc>
          <w:tcPr>
            <w:tcW w:w="61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consideration liability</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284,530</w:t>
            </w:r>
          </w:p>
        </w:tc>
        <w:tc>
          <w:tcPr>
            <w:tcW w:w="611" w:type="dxa"/>
            <w:tcBorders/>
            <w:shd w:fill="FFFFFF" w:val="clear"/>
            <w:vAlign w:val="center"/>
          </w:tcPr>
          <w:p>
            <w:pPr>
              <w:pStyle w:val="TableContents"/>
              <w:bidi w:val="0"/>
              <w:spacing w:before="0" w:after="283"/>
              <w:jc w:val="left"/>
              <w:rPr/>
            </w:pPr>
            <w:r>
              <w:rPr/>
              <w:t> </w:t>
            </w:r>
          </w:p>
        </w:tc>
      </w:tr>
      <w:tr>
        <w:trPr/>
        <w:tc>
          <w:tcPr>
            <w:tcW w:w="6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240,000,000</w:t>
            </w:r>
            <w:r>
              <w:rPr>
                <w:rFonts w:ascii="Times New Roman" w:hAnsi="Times New Roman"/>
                <w:color w:val="000000"/>
                <w:sz w:val="20"/>
              </w:rPr>
              <w:t> </w:t>
            </w:r>
            <w:r>
              <w:rPr>
                <w:rFonts w:ascii="Times New Roman" w:hAnsi="Times New Roman"/>
                <w:color w:val="000000"/>
                <w:sz w:val="18"/>
              </w:rPr>
              <w:t>and 120,000,000</w:t>
            </w:r>
            <w:r>
              <w:rPr>
                <w:rFonts w:ascii="Times New Roman" w:hAnsi="Times New Roman"/>
                <w:color w:val="000000"/>
                <w:sz w:val="20"/>
              </w:rPr>
              <w:t> </w:t>
            </w:r>
            <w:r>
              <w:rPr>
                <w:rFonts w:ascii="Times New Roman" w:hAnsi="Times New Roman"/>
                <w:color w:val="000000"/>
                <w:sz w:val="18"/>
              </w:rPr>
              <w:t>shares</w:t>
              <w:br/>
              <w:t>   authorized at December 31, 2023 and December 31, 2022, respectively;</w:t>
              <w:br/>
              <w:t>   92,997,158</w:t>
            </w:r>
            <w:r>
              <w:rPr>
                <w:rFonts w:ascii="Times New Roman" w:hAnsi="Times New Roman"/>
                <w:color w:val="000000"/>
                <w:sz w:val="20"/>
              </w:rPr>
              <w:t> </w:t>
            </w:r>
            <w:r>
              <w:rPr>
                <w:rFonts w:ascii="Times New Roman" w:hAnsi="Times New Roman"/>
                <w:color w:val="000000"/>
                <w:sz w:val="18"/>
              </w:rPr>
              <w:t>and 87,103,007</w:t>
            </w:r>
            <w:r>
              <w:rPr>
                <w:rFonts w:ascii="Times New Roman" w:hAnsi="Times New Roman"/>
                <w:color w:val="000000"/>
                <w:sz w:val="20"/>
              </w:rPr>
              <w:t> </w:t>
            </w:r>
            <w:r>
              <w:rPr>
                <w:rFonts w:ascii="Times New Roman" w:hAnsi="Times New Roman"/>
                <w:color w:val="000000"/>
                <w:sz w:val="18"/>
              </w:rPr>
              <w:t>shares issued and outstanding at December 31, 2023</w:t>
              <w:br/>
              <w:t>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2,710,797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2,420,223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(7,461</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(1,177,187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1,235,584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1,520,114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88"/>
        <w:gridCol w:w="146"/>
        <w:gridCol w:w="211"/>
        <w:gridCol w:w="841"/>
        <w:gridCol w:w="166"/>
        <w:gridCol w:w="146"/>
        <w:gridCol w:w="211"/>
        <w:gridCol w:w="841"/>
        <w:gridCol w:w="166"/>
        <w:gridCol w:w="146"/>
        <w:gridCol w:w="211"/>
        <w:gridCol w:w="841"/>
        <w:gridCol w:w="591"/>
      </w:tblGrid>
      <w:tr>
        <w:trPr/>
        <w:tc>
          <w:tcPr>
            <w:tcW w:w="5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614" w:type="dxa"/>
            <w:gridSpan w:val="1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INTELLIA THERAPEUTICS, INC.</w:t>
            </w:r>
          </w:p>
        </w:tc>
        <w:tc>
          <w:tcPr>
            <w:tcW w:w="591" w:type="dxa"/>
            <w:tcBorders/>
            <w:shd w:fill="FFFFFF" w:val="clear"/>
            <w:vAlign w:val="center"/>
          </w:tcPr>
          <w:p>
            <w:pPr>
              <w:pStyle w:val="TableContents"/>
              <w:bidi w:val="0"/>
              <w:spacing w:before="0" w:after="283"/>
              <w:jc w:val="center"/>
              <w:rPr/>
            </w:pPr>
            <w:r>
              <w:rPr/>
              <w:t> </w:t>
            </w:r>
          </w:p>
        </w:tc>
      </w:tr>
      <w:tr>
        <w:trPr/>
        <w:tc>
          <w:tcPr>
            <w:tcW w:w="9614" w:type="dxa"/>
            <w:gridSpan w:val="12"/>
            <w:tcBorders/>
            <w:shd w:fill="FFFFFF" w:val="clear"/>
            <w:vAlign w:val="center"/>
          </w:tcPr>
          <w:p>
            <w:pPr>
              <w:pStyle w:val="TableContents"/>
              <w:bidi w:val="0"/>
              <w:spacing w:before="0" w:after="283"/>
              <w:jc w:val="center"/>
              <w:rPr>
                <w:rFonts w:ascii="Times New Roman" w:hAnsi="Times New Roman"/>
                <w:b/>
                <w:color w:val="000000"/>
                <w:sz w:val="20"/>
              </w:rPr>
            </w:pPr>
            <w:bookmarkStart w:id="31" w:name="consolidated_statements_of_operations"/>
            <w:bookmarkEnd w:id="31"/>
            <w:r>
              <w:rPr>
                <w:rFonts w:ascii="Times New Roman" w:hAnsi="Times New Roman"/>
                <w:b/>
                <w:color w:val="000000"/>
                <w:sz w:val="20"/>
              </w:rPr>
              <w:t>CONSOLIDATED STATEMENTS OF OPERATIONS AND COMPREHENSIVE LOSS</w:t>
            </w:r>
          </w:p>
        </w:tc>
        <w:tc>
          <w:tcPr>
            <w:tcW w:w="591" w:type="dxa"/>
            <w:tcBorders/>
            <w:shd w:fill="FFFFFF" w:val="clear"/>
            <w:vAlign w:val="center"/>
          </w:tcPr>
          <w:p>
            <w:pPr>
              <w:pStyle w:val="TableContents"/>
              <w:bidi w:val="0"/>
              <w:spacing w:before="0" w:after="283"/>
              <w:jc w:val="center"/>
              <w:rPr/>
            </w:pPr>
            <w:r>
              <w:rPr/>
              <w:t> </w:t>
            </w:r>
          </w:p>
        </w:tc>
      </w:tr>
      <w:tr>
        <w:trPr/>
        <w:tc>
          <w:tcPr>
            <w:tcW w:w="9614" w:type="dxa"/>
            <w:gridSpan w:val="1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thousands except per share data)</w:t>
            </w:r>
          </w:p>
        </w:tc>
        <w:tc>
          <w:tcPr>
            <w:tcW w:w="591" w:type="dxa"/>
            <w:tcBorders/>
            <w:shd w:fill="FFFFFF" w:val="clear"/>
            <w:vAlign w:val="center"/>
          </w:tcPr>
          <w:p>
            <w:pPr>
              <w:pStyle w:val="TableContents"/>
              <w:bidi w:val="0"/>
              <w:spacing w:before="0" w:after="283"/>
              <w:jc w:val="center"/>
              <w:rPr/>
            </w:pPr>
            <w:r>
              <w:rPr/>
              <w:t> </w:t>
            </w:r>
          </w:p>
        </w:tc>
      </w:tr>
      <w:tr>
        <w:trPr/>
        <w:tc>
          <w:tcPr>
            <w:tcW w:w="56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56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Collaboration revenue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33,053</w:t>
            </w:r>
          </w:p>
        </w:tc>
        <w:tc>
          <w:tcPr>
            <w:tcW w:w="591" w:type="dxa"/>
            <w:tcBorders/>
            <w:shd w:fill="CFF0FC" w:val="clear"/>
            <w:vAlign w:val="center"/>
          </w:tcPr>
          <w:p>
            <w:pPr>
              <w:pStyle w:val="TableContents"/>
              <w:bidi w:val="0"/>
              <w:spacing w:before="0" w:after="283"/>
              <w:jc w:val="left"/>
              <w:rPr/>
            </w:pPr>
            <w:r>
              <w:rPr/>
              <w:t> </w:t>
            </w:r>
          </w:p>
        </w:tc>
      </w:tr>
      <w:tr>
        <w:trPr/>
        <w:tc>
          <w:tcPr>
            <w:tcW w:w="56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6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229,807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6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(267,850</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6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6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(267,892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568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Unrealized gain (loss)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comprehensive gain (loss) from equity method</w:t>
              <w:br/>
              <w:t>          investment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Including the following revenue from related party (see Notes 9 and 16):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w:t>
            </w:r>
          </w:p>
        </w:tc>
        <w:tc>
          <w:tcPr>
            <w:tcW w:w="5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INTELLIA THERAPEUTICS, INC.</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0"/>
        </w:rPr>
      </w:pPr>
      <w:bookmarkStart w:id="32" w:name="consol_stmts_of_stockholders_equity"/>
      <w:bookmarkEnd w:id="32"/>
      <w:r>
        <w:rPr>
          <w:rFonts w:ascii="Times New Roman" w:hAnsi="Times New Roman"/>
          <w:b/>
          <w:caps/>
          <w:color w:val="000000"/>
          <w:sz w:val="20"/>
        </w:rPr>
        <w:t>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(Amounts 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3"/>
        <w:gridCol w:w="146"/>
        <w:gridCol w:w="146"/>
        <w:gridCol w:w="796"/>
        <w:gridCol w:w="146"/>
        <w:gridCol w:w="146"/>
        <w:gridCol w:w="315"/>
        <w:gridCol w:w="316"/>
        <w:gridCol w:w="146"/>
        <w:gridCol w:w="146"/>
        <w:gridCol w:w="181"/>
        <w:gridCol w:w="721"/>
        <w:gridCol w:w="146"/>
        <w:gridCol w:w="146"/>
        <w:gridCol w:w="291"/>
        <w:gridCol w:w="805"/>
        <w:gridCol w:w="151"/>
        <w:gridCol w:w="146"/>
        <w:gridCol w:w="181"/>
        <w:gridCol w:w="766"/>
        <w:gridCol w:w="151"/>
        <w:gridCol w:w="146"/>
        <w:gridCol w:w="193"/>
        <w:gridCol w:w="778"/>
        <w:gridCol w:w="197"/>
      </w:tblGrid>
      <w:tr>
        <w:trPr/>
        <w:tc>
          <w:tcPr>
            <w:tcW w:w="2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7" w:type="dxa"/>
            <w:tcBorders/>
            <w:shd w:fill="FFFFFF" w:val="clear"/>
            <w:vAlign w:val="center"/>
          </w:tcPr>
          <w:p>
            <w:pPr>
              <w:pStyle w:val="TableContents"/>
              <w:bidi w:val="0"/>
              <w:spacing w:before="0" w:after="283"/>
              <w:jc w:val="center"/>
              <w:rPr/>
            </w:pPr>
            <w:r>
              <w:rPr/>
              <w:t> </w:t>
            </w:r>
          </w:p>
        </w:tc>
      </w:tr>
      <w:tr>
        <w:trPr/>
        <w:tc>
          <w:tcPr>
            <w:tcW w:w="29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197" w:type="dxa"/>
            <w:tcBorders/>
            <w:shd w:fill="FFFFFF" w:val="clear"/>
            <w:vAlign w:val="center"/>
          </w:tcPr>
          <w:p>
            <w:pPr>
              <w:pStyle w:val="TableContents"/>
              <w:bidi w:val="0"/>
              <w:spacing w:before="0" w:after="283"/>
              <w:jc w:val="center"/>
              <w:rPr/>
            </w:pPr>
            <w:r>
              <w:rPr/>
              <w:t> </w:t>
            </w:r>
          </w:p>
        </w:tc>
      </w:tr>
      <w:tr>
        <w:trPr/>
        <w:tc>
          <w:tcPr>
            <w:tcW w:w="29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66,234,056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(435,109</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527,072</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through follow-on offerings,</w:t>
              <w:br/>
              <w:t>   net of issuance costs of $284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4,758,620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648,315</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through at-the-market offerings, net</w:t>
              <w:br/>
              <w:t>   of issuance costs of $52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45,255</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2,700,886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41,094</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shares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47,009</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 - 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(2,126</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(2,126</w:t>
            </w:r>
          </w:p>
        </w:tc>
        <w:tc>
          <w:tcPr>
            <w:tcW w:w="197"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 - equity method investment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w:t>
            </w:r>
          </w:p>
        </w:tc>
        <w:tc>
          <w:tcPr>
            <w:tcW w:w="197"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(267,892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(267,892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903"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74,485,883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1,745,870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(703,001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1,040,244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through follow-on offerings,</w:t>
              <w:br/>
              <w:t>   net of issuance costs of $253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7,532,751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337,892</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Issuance of common stock through at-the-market offerings, net</w:t>
              <w:br/>
              <w:t>   of issuance costs of $164</w:t>
            </w:r>
            <w:r>
              <w:rPr>
                <w:rFonts w:ascii="Times New Roman" w:hAnsi="Times New Roman"/>
                <w:color w:val="000000"/>
                <w:sz w:val="20"/>
              </w:rPr>
              <w:t> </w:t>
            </w:r>
            <w:r>
              <w:rPr>
                <w:rFonts w:ascii="Times New Roman" w:hAnsi="Times New Roman"/>
                <w:color w:val="000000"/>
                <w:sz w:val="15"/>
              </w:rPr>
              <w:t>- 2019 Sale Agreement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38,886</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Issuance of common stock through at-the-market offerings, net</w:t>
              <w:br/>
              <w:t>   of issuance costs of $125</w:t>
            </w:r>
            <w:r>
              <w:rPr>
                <w:rFonts w:ascii="Times New Roman" w:hAnsi="Times New Roman"/>
                <w:color w:val="000000"/>
                <w:sz w:val="20"/>
              </w:rPr>
              <w:t> </w:t>
            </w:r>
            <w:r>
              <w:rPr>
                <w:rFonts w:ascii="Times New Roman" w:hAnsi="Times New Roman"/>
                <w:color w:val="000000"/>
                <w:sz w:val="15"/>
              </w:rPr>
              <w:t>- 2022 Sale Agreement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3,395,339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189,011</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883,954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14,517</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shares under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2,649</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91,400</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 - unrealized loss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(1,637</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(1,637</w:t>
            </w:r>
          </w:p>
        </w:tc>
        <w:tc>
          <w:tcPr>
            <w:tcW w:w="197"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 - equity method investment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w:t>
            </w:r>
          </w:p>
        </w:tc>
        <w:tc>
          <w:tcPr>
            <w:tcW w:w="197"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(474,186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(474,186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903"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87,103,007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(1,177,187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1,235,584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Issuance of common stock through at-the-market offerings, net</w:t>
              <w:br/>
              <w:t>   of issuance costs of $376</w:t>
            </w:r>
            <w:r>
              <w:rPr>
                <w:rFonts w:ascii="Times New Roman" w:hAnsi="Times New Roman"/>
                <w:color w:val="000000"/>
                <w:sz w:val="20"/>
              </w:rPr>
              <w:t> </w:t>
            </w:r>
            <w:r>
              <w:rPr>
                <w:rFonts w:ascii="Times New Roman" w:hAnsi="Times New Roman"/>
                <w:color w:val="000000"/>
                <w:sz w:val="15"/>
              </w:rPr>
              <w:t>- 2022 Sale Agreement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4,122,824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121,870</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paid to Rewrite Holders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24,126</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6,599</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677,055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shares under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3,929</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134,050</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gain -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3,635</w:t>
            </w:r>
          </w:p>
        </w:tc>
        <w:tc>
          <w:tcPr>
            <w:tcW w:w="197" w:type="dxa"/>
            <w:tcBorders/>
            <w:shd w:fill="CFF0FC" w:val="clear"/>
            <w:vAlign w:val="center"/>
          </w:tcPr>
          <w:p>
            <w:pPr>
              <w:pStyle w:val="TableContents"/>
              <w:bidi w:val="0"/>
              <w:spacing w:before="0" w:after="283"/>
              <w:jc w:val="left"/>
              <w:rPr/>
            </w:pPr>
            <w:r>
              <w:rPr/>
              <w:t> </w:t>
            </w:r>
          </w:p>
        </w:tc>
      </w:tr>
      <w:tr>
        <w:trPr/>
        <w:tc>
          <w:tcPr>
            <w:tcW w:w="290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gain - equity method investment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1,568</w:t>
            </w:r>
          </w:p>
        </w:tc>
        <w:tc>
          <w:tcPr>
            <w:tcW w:w="197" w:type="dxa"/>
            <w:tcBorders/>
            <w:shd w:fill="FFFFFF" w:val="clear"/>
            <w:vAlign w:val="center"/>
          </w:tcPr>
          <w:p>
            <w:pPr>
              <w:pStyle w:val="TableContents"/>
              <w:bidi w:val="0"/>
              <w:spacing w:before="0" w:after="283"/>
              <w:jc w:val="left"/>
              <w:rPr/>
            </w:pPr>
            <w:r>
              <w:rPr/>
              <w:t> </w:t>
            </w:r>
          </w:p>
        </w:tc>
      </w:tr>
      <w:tr>
        <w:trPr/>
        <w:tc>
          <w:tcPr>
            <w:tcW w:w="290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(481,192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(481,192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903"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92,997,158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2,710,797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(1,658,379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1,050,169</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INTELLIA THERAPEUTICS, INC.</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0"/>
        </w:rPr>
      </w:pPr>
      <w:bookmarkStart w:id="33" w:name="consol_stmts_of_cash_flows"/>
      <w:bookmarkEnd w:id="33"/>
      <w:r>
        <w:rPr>
          <w:rFonts w:ascii="Times New Roman" w:hAnsi="Times New Roman"/>
          <w:b/>
          <w:caps/>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5848"/>
        <w:gridCol w:w="146"/>
        <w:gridCol w:w="196"/>
        <w:gridCol w:w="751"/>
        <w:gridCol w:w="166"/>
        <w:gridCol w:w="146"/>
        <w:gridCol w:w="196"/>
        <w:gridCol w:w="751"/>
        <w:gridCol w:w="166"/>
        <w:gridCol w:w="146"/>
        <w:gridCol w:w="196"/>
        <w:gridCol w:w="886"/>
        <w:gridCol w:w="611"/>
      </w:tblGrid>
      <w:tr>
        <w:trPr/>
        <w:tc>
          <w:tcPr>
            <w:tcW w:w="5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(481,192</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(474,186</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(267,892</w:t>
            </w:r>
          </w:p>
        </w:tc>
        <w:tc>
          <w:tcPr>
            <w:tcW w:w="61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Loss (gain)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47,009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(Accretion) amortization of investment discounts and premiums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(25,897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7,604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Loss from equity method investment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Deferral of equity method investment intra-entity profit on sales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In-process research and development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55,990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4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(32,688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4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(27,168</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(2,160</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(9,798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9,349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4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(707</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(1,091</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4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(4,584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4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17,260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4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(63,464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(31,355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(225,030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(13,985</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(13,558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(12,756</w:t>
            </w:r>
          </w:p>
        </w:tc>
        <w:tc>
          <w:tcPr>
            <w:tcW w:w="61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(904,464</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(429,032</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(1,020,620</w:t>
            </w:r>
          </w:p>
        </w:tc>
        <w:tc>
          <w:tcPr>
            <w:tcW w:w="61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647,581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485,598</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sale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Acquired in-process research and development, net of cash acquired of $287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(44,832</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in Kyverna Therapeutics, Inc.</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(550,778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proceeds from issuance of common stock through follow-on</w:t>
              <w:br/>
              <w:t>   offerings, net of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648,315</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proceeds from issuance of common stock through at-the-market</w:t>
              <w:br/>
              <w:t>   offerings, net of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45,255</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options exercised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41,094</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shares through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582,955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736,688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Net (decrease) increase in cash and cash equivalents and restricted cash </w:t>
              <w:br/>
              <w:t>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(295,110</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409,977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(39,120</w:t>
            </w:r>
          </w:p>
        </w:tc>
        <w:tc>
          <w:tcPr>
            <w:tcW w:w="61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535,463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164,606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equivalents,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535,463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125,486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equivalents to consolidated balance sheet: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123,406</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 equivalents, included in investments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cash, cash equivalents and restricted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535,463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125,486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 unpaid at period end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667</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Rewrite contingent consideration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Right-of-use assets acquired under operating leases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49,378</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at-the-market offerings unpaid at period end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Contingent consideration liability assumed in asset acquisition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trade-in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contribution of intellectual property to AvenCell Therapeutics, Inc.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62,900</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contribution of intellectual property to SparingVision SAS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14,759</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contribution of intellectual property to Kyverna Therapeutics, Inc.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7,000</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9594" w:type="dxa"/>
            <w:gridSpan w:val="12"/>
            <w:tcBorders/>
            <w:shd w:fill="FFFFFF"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accompanying notes are an integral part of these consolidated financial statements.</w:t>
            </w:r>
          </w:p>
        </w:tc>
        <w:tc>
          <w:tcPr>
            <w:tcW w:w="611" w:type="dxa"/>
            <w:tcBorders/>
            <w:shd w:fill="FFFFFF" w:val="clear"/>
            <w:vAlign w:val="center"/>
          </w:tcPr>
          <w:p>
            <w:pPr>
              <w:pStyle w:val="TableContents"/>
              <w:bidi w:val="0"/>
              <w:spacing w:before="0" w:after="283"/>
              <w:jc w:val="center"/>
              <w:rPr/>
            </w:pPr>
            <w:r>
              <w:rPr/>
              <w:t> </w:t>
            </w:r>
          </w:p>
        </w:tc>
      </w:tr>
    </w:tbl>
    <w:p>
      <w:pPr>
        <w:pStyle w:val="TextBody"/>
        <w:bidi w:val="0"/>
        <w:spacing w:before="8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INTELLIA THERAPEUTICS, INC.</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34" w:name="notes_to_consolidated_financial_statemen"/>
      <w:bookmarkEnd w:id="34"/>
      <w:r>
        <w:rPr>
          <w:rFonts w:ascii="Times New Roman" w:hAnsi="Times New Roman"/>
          <w:b/>
          <w:caps/>
          <w:color w:val="000000"/>
          <w:sz w:val="20"/>
        </w:rPr>
        <w:t>NOTES TO CONSOLIDATED FINANCIAL STATEMENTS</w:t>
      </w:r>
      <w:r>
        <w:rPr>
          <w:rFonts w:ascii="Times New Roman" w:hAnsi="Times New Roman"/>
          <w:caps/>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Intellia Therapeutics, Inc. (“Intellia” or the “Company”) is a leading clinical-stage gene editing company, focused on developing potentially curative therapeutics using CRISPR/Cas9-based technologies. CRISPR/Cas9, an acronym for </w:t>
      </w:r>
      <w:r>
        <w:rPr>
          <w:rFonts w:ascii="Times New Roman" w:hAnsi="Times New Roman"/>
          <w:color w:val="000000"/>
          <w:sz w:val="20"/>
          <w:u w:val="single"/>
        </w:rPr>
        <w:t>C</w:t>
      </w:r>
      <w:r>
        <w:rPr>
          <w:rFonts w:ascii="Times New Roman" w:hAnsi="Times New Roman"/>
          <w:color w:val="000000"/>
          <w:sz w:val="20"/>
        </w:rPr>
        <w:t xml:space="preserve">lustered, </w:t>
      </w:r>
      <w:r>
        <w:rPr>
          <w:rFonts w:ascii="Times New Roman" w:hAnsi="Times New Roman"/>
          <w:color w:val="000000"/>
          <w:sz w:val="20"/>
          <w:u w:val="single"/>
        </w:rPr>
        <w:t>R</w:t>
      </w:r>
      <w:r>
        <w:rPr>
          <w:rFonts w:ascii="Times New Roman" w:hAnsi="Times New Roman"/>
          <w:color w:val="000000"/>
          <w:sz w:val="20"/>
        </w:rPr>
        <w:t xml:space="preserve">egularly </w:t>
      </w:r>
      <w:r>
        <w:rPr>
          <w:rFonts w:ascii="Times New Roman" w:hAnsi="Times New Roman"/>
          <w:color w:val="000000"/>
          <w:sz w:val="20"/>
          <w:u w:val="single"/>
        </w:rPr>
        <w:t>I</w:t>
      </w:r>
      <w:r>
        <w:rPr>
          <w:rFonts w:ascii="Times New Roman" w:hAnsi="Times New Roman"/>
          <w:color w:val="000000"/>
          <w:sz w:val="20"/>
        </w:rPr>
        <w:t xml:space="preserve">nterspaced </w:t>
      </w:r>
      <w:r>
        <w:rPr>
          <w:rFonts w:ascii="Times New Roman" w:hAnsi="Times New Roman"/>
          <w:color w:val="000000"/>
          <w:sz w:val="20"/>
          <w:u w:val="single"/>
        </w:rPr>
        <w:t>S</w:t>
      </w:r>
      <w:r>
        <w:rPr>
          <w:rFonts w:ascii="Times New Roman" w:hAnsi="Times New Roman"/>
          <w:color w:val="000000"/>
          <w:sz w:val="20"/>
        </w:rPr>
        <w:t xml:space="preserve">hort </w:t>
      </w:r>
      <w:r>
        <w:rPr>
          <w:rFonts w:ascii="Times New Roman" w:hAnsi="Times New Roman"/>
          <w:color w:val="000000"/>
          <w:sz w:val="20"/>
          <w:u w:val="single"/>
        </w:rPr>
        <w:t>P</w:t>
      </w:r>
      <w:r>
        <w:rPr>
          <w:rFonts w:ascii="Times New Roman" w:hAnsi="Times New Roman"/>
          <w:color w:val="000000"/>
          <w:sz w:val="20"/>
        </w:rPr>
        <w:t xml:space="preserve">alindromic </w:t>
      </w:r>
      <w:r>
        <w:rPr>
          <w:rFonts w:ascii="Times New Roman" w:hAnsi="Times New Roman"/>
          <w:color w:val="000000"/>
          <w:sz w:val="20"/>
          <w:u w:val="single"/>
        </w:rPr>
        <w:t>R</w:t>
      </w:r>
      <w:r>
        <w:rPr>
          <w:rFonts w:ascii="Times New Roman" w:hAnsi="Times New Roman"/>
          <w:color w:val="000000"/>
          <w:sz w:val="20"/>
        </w:rPr>
        <w:t>epeats (“CRISPR”)/</w:t>
      </w:r>
      <w:r>
        <w:rPr>
          <w:rFonts w:ascii="Times New Roman" w:hAnsi="Times New Roman"/>
          <w:color w:val="000000"/>
          <w:sz w:val="20"/>
          <w:u w:val="single"/>
        </w:rPr>
        <w:t>C</w:t>
      </w:r>
      <w:r>
        <w:rPr>
          <w:rFonts w:ascii="Times New Roman" w:hAnsi="Times New Roman"/>
          <w:color w:val="000000"/>
          <w:sz w:val="20"/>
        </w:rPr>
        <w:t xml:space="preserve">RISPR </w:t>
      </w:r>
      <w:r>
        <w:rPr>
          <w:rFonts w:ascii="Times New Roman" w:hAnsi="Times New Roman"/>
          <w:color w:val="000000"/>
          <w:sz w:val="20"/>
          <w:u w:val="single"/>
        </w:rPr>
        <w:t>a</w:t>
      </w:r>
      <w:r>
        <w:rPr>
          <w:rFonts w:ascii="Times New Roman" w:hAnsi="Times New Roman"/>
          <w:color w:val="000000"/>
          <w:sz w:val="20"/>
        </w:rPr>
        <w:t xml:space="preserve">ssociated </w:t>
      </w:r>
      <w:r>
        <w:rPr>
          <w:rFonts w:ascii="Times New Roman" w:hAnsi="Times New Roman"/>
          <w:color w:val="000000"/>
          <w:sz w:val="20"/>
          <w:u w:val="single"/>
        </w:rPr>
        <w:t>9</w:t>
      </w:r>
      <w:r>
        <w:rPr>
          <w:rFonts w:ascii="Times New Roman" w:hAnsi="Times New Roman"/>
          <w:color w:val="000000"/>
          <w:sz w:val="20"/>
        </w:rPr>
        <w:t xml:space="preserve"> (“Cas9”), is a technology for genome editing, the process of altering selected sequences of genomic deoxyribonucleic acid (“DNA”). To fully realize the transformative potential of CRISPR/Cas9-based technologies, the Company is building a full-spectrum gene editing company, by leveraging its modular platform, to advance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ex vivo</w:t>
      </w:r>
      <w:r>
        <w:rPr>
          <w:rFonts w:ascii="Times New Roman" w:hAnsi="Times New Roman"/>
          <w:color w:val="000000"/>
          <w:sz w:val="20"/>
        </w:rPr>
        <w:t xml:space="preserve"> therapies for diseases with high unmet need by pursuing two primary approaches. For </w:t>
      </w:r>
      <w:r>
        <w:rPr>
          <w:rFonts w:ascii="Times New Roman" w:hAnsi="Times New Roman"/>
          <w:i/>
          <w:color w:val="000000"/>
          <w:sz w:val="20"/>
        </w:rPr>
        <w:t>in vivo</w:t>
      </w:r>
      <w:r>
        <w:rPr>
          <w:rFonts w:ascii="Times New Roman" w:hAnsi="Times New Roman"/>
          <w:color w:val="000000"/>
          <w:sz w:val="20"/>
        </w:rPr>
        <w:t xml:space="preserve"> applications to address genetic diseases, the Company deploys CRISPR/Cas9 as the therapy. The Company’s </w:t>
      </w:r>
      <w:r>
        <w:rPr>
          <w:rFonts w:ascii="Times New Roman" w:hAnsi="Times New Roman"/>
          <w:i/>
          <w:color w:val="000000"/>
          <w:sz w:val="20"/>
        </w:rPr>
        <w:t>in vivo</w:t>
      </w:r>
      <w:r>
        <w:rPr>
          <w:rFonts w:ascii="Times New Roman" w:hAnsi="Times New Roman"/>
          <w:color w:val="000000"/>
          <w:sz w:val="20"/>
        </w:rPr>
        <w:t xml:space="preserve"> programs use CRISPR to enable precise editing of disease-causing genes directly inside the human body. In addition, the Company is advancing </w:t>
      </w:r>
      <w:r>
        <w:rPr>
          <w:rFonts w:ascii="Times New Roman" w:hAnsi="Times New Roman"/>
          <w:i/>
          <w:color w:val="000000"/>
          <w:sz w:val="20"/>
        </w:rPr>
        <w:t>ex vivo</w:t>
      </w:r>
      <w:r>
        <w:rPr>
          <w:rFonts w:ascii="Times New Roman" w:hAnsi="Times New Roman"/>
          <w:color w:val="000000"/>
          <w:sz w:val="20"/>
        </w:rPr>
        <w:t xml:space="preserve"> applications to address immuno-oncology and autoimmune diseases, where it uses CRISPR/Cas9 as the tool to create the engineered cell therapy. For its </w:t>
      </w:r>
      <w:r>
        <w:rPr>
          <w:rFonts w:ascii="Times New Roman" w:hAnsi="Times New Roman"/>
          <w:i/>
          <w:color w:val="000000"/>
          <w:sz w:val="20"/>
        </w:rPr>
        <w:t>ex vivo</w:t>
      </w:r>
      <w:r>
        <w:rPr>
          <w:rFonts w:ascii="Times New Roman" w:hAnsi="Times New Roman"/>
          <w:color w:val="000000"/>
          <w:sz w:val="20"/>
        </w:rPr>
        <w:t xml:space="preserve"> programs, CRISPR/Cas9 is used to engineer human cells outside the body. The Company’s deep scientific, technical and clinical development experience, along with its robust intellectual property (“IP”) portfolio, have enabled it to unlock broad therapeutic applications of CRISPR/Cas9 and related technologies to create new classes of genetic medicine.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was founded and commenced active operations in 2014. The Company will require substantial additional capital to fund its research and development. The Company is subject to risks and uncertainties common to clinical-stage companies in the biotechnology industry, including, but not limited to, development by competitors of more advanced or effective therapies, dependence on key executives, protection of and dependence on proprietary technology, compliance with government regulations and ability to secure additional capital to fund operations. Programs currently in development or moving into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sz w:val="20"/>
        </w:rPr>
      </w:pPr>
      <w:r>
        <w:rPr>
          <w:rFonts w:ascii="Times New Roman" w:hAnsi="Times New Roman"/>
          <w:color w:val="000000"/>
          <w:sz w:val="20"/>
        </w:rPr>
        <w:t>Since its inception through December 31, 2023, the Company has raised an aggregate of $2,534.1 million to fund its operations through its initial public offering (“IPO”) and concurrent private placements, follow-on public offerings, at-the-market offerings and the sale of convertible preferred stock, as well as through its collaboration agreements. The Company expects that its cash, cash equivalents and marketable securities</w:t>
      </w:r>
      <w:r>
        <w:rPr>
          <w:rFonts w:ascii="Times New Roman" w:hAnsi="Times New Roman"/>
          <w:color w:val="FF0000"/>
          <w:sz w:val="20"/>
        </w:rPr>
        <w:t xml:space="preserve"> </w:t>
      </w:r>
      <w:r>
        <w:rPr>
          <w:rFonts w:ascii="Times New Roman" w:hAnsi="Times New Roman"/>
          <w:color w:val="000000"/>
          <w:sz w:val="20"/>
        </w:rPr>
        <w:t>as of December 31, 2023 will enable the Company to fund its ongoing operating expenses and capital expenditure requirements for at least the twelve-month period following the issuance of these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consolidated financial statements include the accounts of Intellia Therapeutics, Inc. and its wholly owned, controlled subsidiary, Intellia Securities Corp. All intercompany balances and transactions have been eliminated in consolidation. Comprehensive loss is comprised of net loss and gain/loss on marketable securities and equity method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2022, the Company entered into an agreement to acquire Rewrite Therapeutics, Inc., a Delaware corporation (“Rewrite”). On the effective date of the agreement, Rewrite became a wholly owned subsidiary of the Company. In September 2022, Rewrite merged into Intellia, with Intellia the surviving entity.</w:t>
      </w:r>
    </w:p>
    <w:p>
      <w:pPr>
        <w:pStyle w:val="TextBody"/>
        <w:bidi w:val="0"/>
        <w:spacing w:before="24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of America (“U.S. GAAP”) requires management to make estimates, judgments and assumptions that affect the amounts reported in the financial statements and accompanying notes. Significant estimates in these consolidated financial statements have been made in connection with the calculation of revenues, research and development expenses, valuation and determination of impairment of equity and fair value method investments, contingent consideration and stock-based compensation expense. The Company bases its estimates on historical experience and various other assumptions that management believes to be reasonable under the circumstances at the time such estimates are made. Actual results could differ from those estimates. The Company periodically reviews its estimates in light of changes in circumstances, facts and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effects of material revisions in estimates are reflected in the consolidated financial statements prospectively from the date of the change in estimate.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financial instruments include cash equivalents, restricted cash equivalents, marketable securities, accounts receivable, non-marketable securities, accounts payable and accrued expenses. Certain of the Company’s financial assets, including cash equivalents, restricted cash equivalents and marketable securities, have been initially valued at the transaction price, and subsequently revalued at the end of each reporting period, utilizing third party pricing services or other observable market data. The pricing services utilize industry standard valuation models and observable market inputs to determine value. Investments in non-marketable securities are accounted for using the measurement alternative at cost minus impairment, adjusted for changes in observable prices.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Refer to Note 4 for further information regarding the Company’s 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financial instruments, including accounts receivable, accounts payable and accrued expenses, are carried at cost, which approximate fair value due to the short duration and term to maturity.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with maturities of three months or less when purchased to be cash equivalents. As of December 31, 2023, cash equivalents consisted of interest-bearing money market accounts, U.S. Treasury bills and other government securities. As of December 31, 2022, cash equivalents consisted of interest-bearing money market accounts and reverse purchase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restricted cash equivalents made up of money market funds held in collateral accounts that are restricted to secure letters of credit in accordance with certain of its leases. As of December 31, 2023, these restricted cash equivalents amounted to $13.6 million. As of December 31, 2022, these restricted cash equivalents amounted to $12.0 million. The letters of credit are required to be maintained throughout the term of the leases; in some cases, the Company is able to reduce the amounts held over time. These restricted cash equivalents are long-term in nature and are included in “Investments and other assets” in the Company’s consolidated balance sheets.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marketable securities are accounted for as available-for-sale and recorded at fair value with the related unrealized gains and losses included in accumulated other comprehensive (loss)/income, a component of stockholders’ equity.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reviews its investment portfolio to identify and evaluate investments that have an indication of possible other-than-temporary impairment. Factors considered in determining whether a loss is other-than-temporary include the length of time and extent to which fair value has been less than the cost basis, the financial condition and near-term prospects of the investee, and the Company’s intent and ability to hold the investment for a period of time sufficient to allow for any anticipated recovery in market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Refer to Note 3 for further information regarding the Company’s marketable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Asset 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time of acquisition, the Company determines if a transaction should be accounted for as a business combination or acquisition of assets. The Company measures and recognizes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research and development expense at the acquisition date.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Non-Marketable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periodically invests in equity securities of companies whose securities are not publicly traded and where fair value is not readily available. These investments are accounted for using the measurement alternative at cost minus impairment adjusted for changes in observable prices. The Company monitors these investments to evaluate whether there are any indicators of impairment, and if so determines the fair value of the investment and compares to the recorded balance, to determine if there is an impairment, or if the investment has a readily determinable fair value. These investments are included in “Investments and other assets” in the Company’s consolidated balance sheets. Refer to Note 10 for further information regarding the Company’s investments in non-marketable equity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cash, cash equivalents, restricted cash equivalents and marketable securities may potentially be subject to concentrations of credit risk. The Company generally maintains balances in various accounts in excess of federally insured limits with financial institutions that management believes to be of high credit quality.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Accounts receivable represents amounts due from collaboration partners and joint ventures. The Company monitors economic conditions to identify facts or circumstances that may indicate that any of its accounts receivable are at risk of collection. As of December 31, 2023, the Company’s accounts receivable were related to its collaborations with Regeneron Pharmaceuticals, Inc. (“Regeneron”), SparingVision SAS (“SparingVision”), AvenCell Therapeutics, Inc. (“AvenCell”), and Kyverna Therapeutics, Inc. (“Kyverna”). As of December 31, 2022, the Company’s accounts receivable were related to its collaborations with Regeneron, AvenCell, SparingVision and ONK Therapeutics, Ltd. (“ONK”).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records property and equipment at cost and recognizes depreciation and amortization using the straight-line method over the following estimated useful lives of the respective assets: </w:t>
      </w:r>
    </w:p>
    <w:p>
      <w:pPr>
        <w:pStyle w:val="TextBody"/>
        <w:bidi w:val="0"/>
        <w:jc w:val="left"/>
        <w:rPr/>
      </w:pPr>
      <w:r>
        <w:rPr/>
        <w:t> </w:t>
      </w:r>
    </w:p>
    <w:tbl>
      <w:tblPr>
        <w:tblW w:w="6508" w:type="dxa"/>
        <w:jc w:val="left"/>
        <w:tblInd w:w="0" w:type="dxa"/>
        <w:tblLayout w:type="fixed"/>
        <w:tblCellMar>
          <w:top w:w="28" w:type="dxa"/>
          <w:left w:w="28" w:type="dxa"/>
          <w:bottom w:w="28" w:type="dxa"/>
          <w:right w:w="28" w:type="dxa"/>
        </w:tblCellMar>
      </w:tblPr>
      <w:tblGrid>
        <w:gridCol w:w="2626"/>
        <w:gridCol w:w="146"/>
        <w:gridCol w:w="373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vAlign w:val="center"/>
          </w:tcPr>
          <w:p>
            <w:pPr>
              <w:pStyle w:val="TableContents"/>
              <w:bidi w:val="0"/>
              <w:spacing w:before="0" w:after="283"/>
              <w:jc w:val="left"/>
              <w:rPr/>
            </w:pPr>
            <w:r>
              <w:rPr/>
              <w:t> </w:t>
            </w:r>
          </w:p>
        </w:tc>
        <w:tc>
          <w:tcPr>
            <w:tcW w:w="3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vAlign w:val="center"/>
          </w:tcPr>
          <w:p>
            <w:pPr>
              <w:pStyle w:val="TableContents"/>
              <w:bidi w:val="0"/>
              <w:spacing w:before="0" w:after="283"/>
              <w:jc w:val="left"/>
              <w:rPr/>
            </w:pPr>
            <w:r>
              <w:rPr/>
              <w:t> </w:t>
            </w:r>
          </w:p>
        </w:tc>
        <w:tc>
          <w:tcPr>
            <w:tcW w:w="3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vAlign w:val="center"/>
          </w:tcPr>
          <w:p>
            <w:pPr>
              <w:pStyle w:val="TableContents"/>
              <w:bidi w:val="0"/>
              <w:spacing w:before="0" w:after="283"/>
              <w:jc w:val="left"/>
              <w:rPr/>
            </w:pPr>
            <w:r>
              <w:rPr/>
              <w:t> </w:t>
            </w:r>
          </w:p>
        </w:tc>
        <w:tc>
          <w:tcPr>
            <w:tcW w:w="3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3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useful life or remaining lease term</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Expenditures for repairs and maintenance of assets are expensed as incurred. Upon retirement or sale, the cost of assets disposed and the corresponding accumulated depreciation are removed from the related accounts and any resulting gain or loss is reflected in the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tests long-lived assets to be held and used, including property and equipment, for impairment whenever events or changes in circumstances indicate that the carrying amount of assets or asset groups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Evaluation of recoverability of the asset or asset group is based on an estimate of undiscounted future cash flows resulting from the use of the asset or asset group and its eventual disposition. In the event that such cash flows are not expected to be sufficient to recover the carrying amount of the asset or asset group, the assets are written down to their estimated fair values. The impairment loss would be based on the excess of the carrying value of the impaired asset over its fair value, determined based on discounted cash flows. To date, the Company has not recorded any material impairment losses on long-lived assets.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contingent consideration identified in an asset acquisition, that is payable in cash and does not meet the definition of a derivative under Accounting Standard Codification (“ASC”) 815, </w:t>
      </w:r>
      <w:r>
        <w:rPr>
          <w:rFonts w:ascii="Times New Roman" w:hAnsi="Times New Roman"/>
          <w:i/>
          <w:color w:val="000000"/>
          <w:sz w:val="20"/>
        </w:rPr>
        <w:t>Derivatives and Hedging</w:t>
      </w:r>
      <w:r>
        <w:rPr>
          <w:rFonts w:ascii="Times New Roman" w:hAnsi="Times New Roman"/>
          <w:color w:val="000000"/>
          <w:sz w:val="20"/>
        </w:rPr>
        <w:t xml:space="preserve">, when the contingency is resolved and the consideration is paid or becomes payable.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accounts for contingent consideration identified in an asset acquisition that is settled in shares of common stock under ASC 480, </w:t>
      </w:r>
      <w:r>
        <w:rPr>
          <w:rFonts w:ascii="Times New Roman" w:hAnsi="Times New Roman"/>
          <w:i/>
          <w:color w:val="000000"/>
          <w:sz w:val="20"/>
        </w:rPr>
        <w:t xml:space="preserve">Distinguishing Liabilities from Equity </w:t>
      </w:r>
      <w:r>
        <w:rPr>
          <w:rFonts w:ascii="Times New Roman" w:hAnsi="Times New Roman"/>
          <w:color w:val="000000"/>
          <w:sz w:val="20"/>
        </w:rPr>
        <w:t>(“ASC 480”). The contingent consideration liability will be recorded at fair value at the end of each reporting period with changes in estimated fair values recorded in other (expense) income in the consolidated statements of operations and comprehensive loss.</w:t>
      </w:r>
    </w:p>
    <w:p>
      <w:pPr>
        <w:pStyle w:val="TextBody"/>
        <w:bidi w:val="0"/>
        <w:spacing w:before="24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which requires the recognition of deferred tax assets and liabilities for the expected future tax consequences attributable to differences between carrying amounts of assets and liabilities for financial reporting purposes and the amounts used for income tax reporting purposes and for operating loss and tax credit carryforwards. Changes in deferred tax assets and liabilities are recorded in the provision for income taxes.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deferred tax assets and liabilities are measured using enacted tax rates expected to apply in the years in which these temporary differences are expected to be recovered or settled. A valuation allowance is recorded to reduce deferred tax assets if it is determined that it is more likely than not that all or a portion of the deferred tax asset will not be realized. The Company considers many factors when assessing the likelihood of future realization of deferred tax assets, including recent earnings results, expectations of future taxable income, carryforward periods available and other relevant factors. The Company records changes in the required valuation allowance in the period that the determination is made.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assesses its income tax positions and records tax benefits for all years subject to examination based upon management’s evaluation of the facts, circumstances and information available as of the reporting date. For those tax positions where it is more likely than not that a tax benefit will be sustained, the Company records the largest amount of tax benefit with a greater than 50% likelihood of being realized upon ultimate settlement with a taxing authority having full knowledge of all relevant information. For those income tax positions where it is not more likely than not that a tax benefit will be sustained, the Company does not recognize a tax benefit in the financial statements. The Company records interest and penalties related to uncertain tax positions, if applicable, as a component of income tax expense.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recognizes revenue in accordance with Financial Accounting Standards Board (“FASB”) Accounting Standards Update (“ASU”) 2014-09, </w:t>
      </w:r>
      <w:r>
        <w:rPr>
          <w:rFonts w:ascii="Times New Roman" w:hAnsi="Times New Roman"/>
          <w:i/>
          <w:color w:val="000000"/>
          <w:sz w:val="20"/>
        </w:rPr>
        <w:t>Revenue from Contracts with Customers (Topic 606)</w:t>
      </w:r>
      <w:r>
        <w:rPr>
          <w:rFonts w:ascii="Times New Roman" w:hAnsi="Times New Roman"/>
          <w:color w:val="000000"/>
          <w:sz w:val="20"/>
        </w:rPr>
        <w:t xml:space="preserve"> and its related amendments (collectively known as “ASC 606”).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inception, the Company determines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the Company determines that collection of substantially all consideration for goods and services that are transferred is probable based on the customer’s intent and ability to pay the promised consideration.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distinct in the context of the contract. If these criteria are not met, the promised goods and services are accounted for as a combined performance obligation.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which is discussed in further detail for each of the Company’s collaboration agreements in Note 9. In addition, none of the Company’s contracts as of December 31, 2023 or 2022 contained a significant financing component.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The Company typically determines standalone selling prices using an adjusted market assessment approach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control of a promised good or service to a customer. The Company evaluates the measure of progress each reporting period and, if necessary, adjusts the measure of performance and related revenue recognition.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of December 31, 2023, the Company’s revenue recognized is solely related to collaboration agreements with third parties which are either within the scope of ASC 606, under which the Company licenses certain rights to its product candidates to third parties, or within the scope of ASC 808, </w:t>
      </w:r>
      <w:r>
        <w:rPr>
          <w:rFonts w:ascii="Times New Roman" w:hAnsi="Times New Roman"/>
          <w:i/>
          <w:color w:val="000000"/>
          <w:sz w:val="20"/>
        </w:rPr>
        <w:t>Collaborative Arrangements</w:t>
      </w:r>
      <w:r>
        <w:rPr>
          <w:rFonts w:ascii="Times New Roman" w:hAnsi="Times New Roman"/>
          <w:color w:val="000000"/>
          <w:sz w:val="20"/>
        </w:rPr>
        <w:t xml:space="preserve"> (“ASC 808”) if it involves a joint operating activity pursuant to which the Company is an active participant and is exposed to significant risks and rewards with respect to the arrangement. For the collaboration arrangements under the scope of ASC 606, as discussed in further detail in Note 9, the terms of these arrangements typically include payment to the Company of one or more of the following: nonrefundable, upfront fees; development, regulatory, and commercial milestone payments; research and development funding payments; and royalties on the net sales of licensed products. Additionally, the terms of certain arrangements may include an equity interest in the other company. Each of these payments results in collaboration revenues, except for revenues from royalties on the net sales of licensed products, which are classified as royalty revenues. For arrangements within the scope of ASC 808, the terms of these arrangements typically include payments received or made under the cost sharing provisions which are recognized as a component of revenues in the consolidated statements of operations and comprehensive loss.</w:t>
      </w:r>
    </w:p>
    <w:p>
      <w:pPr>
        <w:pStyle w:val="TextBody"/>
        <w:bidi w:val="0"/>
        <w:spacing w:before="240" w:after="283"/>
        <w:jc w:val="both"/>
        <w:rPr>
          <w:rFonts w:ascii="Times New Roman" w:hAnsi="Times New Roman"/>
          <w:sz w:val="20"/>
        </w:rPr>
      </w:pPr>
      <w:r>
        <w:rPr>
          <w:rFonts w:ascii="Times New Roman" w:hAnsi="Times New Roman"/>
          <w:i/>
          <w:color w:val="000000"/>
          <w:sz w:val="20"/>
        </w:rPr>
        <w:t>Licenses of intellectual property:</w:t>
      </w:r>
      <w:r>
        <w:rPr>
          <w:rFonts w:ascii="Times New Roman" w:hAnsi="Times New Roman"/>
          <w:color w:val="000000"/>
          <w:sz w:val="20"/>
        </w:rPr>
        <w:t xml:space="preserve"> If the license to the Company’s IP is determined to be distinct from the other performance obligations identified in the arrangement, the Company recognizes revenues from consideration allocated to the license when the license is transferred to the customer and the customer is able to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Milestone payments: </w:t>
      </w:r>
      <w:r>
        <w:rPr>
          <w:rFonts w:ascii="Times New Roman" w:hAnsi="Times New Roman"/>
          <w:color w:val="000000"/>
          <w:sz w:val="20"/>
        </w:rPr>
        <w:t xml:space="preserve">At the inception of each arrangement that includes development milestone payments, the Company evaluates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control of the Company or the licensee, such as regulatory approvals, are not considered probable of being achieved until those approvals are received and therefore revenue recognized is constrained as management is unable to assert that a reversal of revenue would not be probable.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and earnings in the period of adjustment. </w:t>
      </w:r>
    </w:p>
    <w:p>
      <w:pPr>
        <w:pStyle w:val="TextBody"/>
        <w:bidi w:val="0"/>
        <w:spacing w:before="240" w:after="283"/>
        <w:jc w:val="both"/>
        <w:rPr>
          <w:rFonts w:ascii="Times New Roman" w:hAnsi="Times New Roman"/>
          <w:sz w:val="20"/>
        </w:rPr>
      </w:pPr>
      <w:r>
        <w:rPr>
          <w:rFonts w:ascii="Times New Roman" w:hAnsi="Times New Roman"/>
          <w:i/>
          <w:color w:val="000000"/>
          <w:sz w:val="20"/>
        </w:rPr>
        <w:t>Royalties:</w:t>
      </w:r>
      <w:r>
        <w:rPr>
          <w:rFonts w:ascii="Times New Roman" w:hAnsi="Times New Roman"/>
          <w:color w:val="000000"/>
          <w:sz w:val="20"/>
        </w:rPr>
        <w:t xml:space="preserve">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collaboration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receives payments from its customers based on billing schedules or upon the achievement of milestones established in each contract. The Company’s contract liabilities consist of deferred revenue. Upfront payments and fees are recorded as deferred revenue upon receipt or when due and may require deferral of revenue recognition to a future period until the Company satisfies its obligations under these arrangements.</w:t>
      </w:r>
    </w:p>
    <w:p>
      <w:pPr>
        <w:pStyle w:val="TextBody"/>
        <w:bidi w:val="0"/>
        <w:spacing w:before="240" w:after="283"/>
        <w:jc w:val="both"/>
        <w:rPr>
          <w:rFonts w:ascii="Times New Roman" w:hAnsi="Times New Roman"/>
          <w:sz w:val="20"/>
        </w:rPr>
      </w:pPr>
      <w:r>
        <w:rPr>
          <w:rFonts w:ascii="Times New Roman" w:hAnsi="Times New Roman"/>
          <w:color w:val="000000"/>
          <w:sz w:val="20"/>
        </w:rPr>
        <w:t>The Company also considers the nature and contractual terms of an arrangement and assesses whether the arrangement involves a joint operating activity pursuant to which the Company is an active participant and is exposed to significant risks and rewards with respect to the arrangement. If the Company is an active participant and is exposed to the significant risks and rewards with respect to the arrangement, the Company accounts for the arrangement under ASC 808</w:t>
      </w:r>
      <w:r>
        <w:rPr>
          <w:rFonts w:ascii="Times New Roman" w:hAnsi="Times New Roman"/>
          <w:i/>
          <w:color w:val="000000"/>
          <w:sz w:val="20"/>
        </w:rPr>
        <w:t xml:space="preserve">. </w:t>
      </w:r>
      <w:r>
        <w:rPr>
          <w:rFonts w:ascii="Times New Roman" w:hAnsi="Times New Roman"/>
          <w:color w:val="000000"/>
          <w:sz w:val="20"/>
        </w:rPr>
        <w:t xml:space="preserve">Based on this consideration, the Company accounts for its co-development agreements with Regeneron and AvenCell under ASC 808. Because ASC 808 does not provide recognition and measurement guidance for collaborative arrangements, the Company has analogized to ASC 606. Refer to Note 9 for additional information regarding the Company’s collaboration agreements.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costs consist of expenses incurred in performing research and development activities, such as salaries, stock-based compensation and benefits of employees, allocated facility-related expenses, overhead expenses, license, sublicense and milestone fees, contract research, clinical trial costs, development and manufacturing services, and other related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records payments made for research and development services prior to the services being rendered as prepaid expenses on the consolidated balance sheet and expenses them as the services are provided. Contracts for multi-year research and development services are recorded on a straight-line basis over each annual contractual period based on the total contractual fee when the services rendered are expected to be substantially equivalent over the term of the arrangement. The cost of obtaining licenses for certain technology or IP is recorded to research and development expense when incurred if the licensed technology or IP has not yet reached technological feasibility and has no alternative future use. </w:t>
      </w:r>
    </w:p>
    <w:p>
      <w:pPr>
        <w:pStyle w:val="TextBody"/>
        <w:bidi w:val="0"/>
        <w:spacing w:before="24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stock-based compensation cost is measured at the grant date based on the fair value of the award and is recognized as an expense over the requisite service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stock option grants is estimated using the Black-Scholes option pricing model. Use of the valuation model requires management to make certain assumptions with respect to selected model inputs. The risk-free interest rate is based on the U.S. Treasury yield curve in effect at the time of grant for a term consistent with the expected life of the stock options. Volatility assumptions are calculated based on historical volatility of the Company’s stock. The Company estimates the expected term of options using the simplified method. In addition, an expected dividend yield of zero is used in the option valuation model because the Company does not pay cash dividends and does not expect to pay any cash dividends in the foreseeable future. Forfeitures are recorded as they occur. The fair value of market-based restricted stock units is determined using a Monte Carlo simulation model, which uses multiple input variables to determine the probability of satisfying the market condition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awards with service conditions only, the Company recognizes stock-based compensation expense on a straight-line basis over the requisite service period. For awards with service and performance-based conditions, the Company recognizes stock-based compensation expense using the graded vesting method over the requisite service period. For awards with market-based conditions, the Company recognizes stock-based compensation expense using the accelerated attribution method over the requisite service period. Estimates of stock-based compensation expense for an award with performance conditions are based on the probable outcome of the performance conditions and the cumulative effect of any changes in the probability outcomes are recorded in the period in which the changes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classifies stock-based compensation expense in its consolidated statement of operations and comprehensive loss in the same manner in which the award recipient’s salary and related costs are classified or in which the award recipient’s service payments are classified. </w:t>
      </w:r>
    </w:p>
    <w:p>
      <w:pPr>
        <w:pStyle w:val="TextBody"/>
        <w:bidi w:val="0"/>
        <w:spacing w:before="240" w:after="283"/>
        <w:jc w:val="both"/>
        <w:rPr>
          <w:rFonts w:ascii="Times New Roman" w:hAnsi="Times New Roman"/>
          <w:sz w:val="20"/>
        </w:rPr>
      </w:pPr>
      <w:r>
        <w:rPr>
          <w:rFonts w:ascii="Times New Roman" w:hAnsi="Times New Roman"/>
          <w:b/>
          <w:i/>
          <w:color w:val="000000"/>
          <w:sz w:val="20"/>
        </w:rPr>
        <w:t>(Loss) 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calculates basic (loss) earnings per share by dividing net (loss) income for each respective period by the weighted average number of common shares outstanding for each respective period. The Company computes diluted (loss) earnings per share after giving consideration to the dilutive effect of stock options and unvested restricted stock that are outstanding during the period, except where such securities would be anti-dilutive. </w:t>
      </w:r>
    </w:p>
    <w:p>
      <w:pPr>
        <w:pStyle w:val="TextBody"/>
        <w:bidi w:val="0"/>
        <w:spacing w:before="24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chief executive officer, its chief operating decision maker, manages the Company’s operations as a single segment for the purpose of assessing performance and making operating decisions. The Company’s one business segment is the development of genome editing-based therapies. All of the Company’s assets are held in the U.S. and all of the Company’s revenue has been generated in the U.S.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Variable Interest Entity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evaluates at the inception of each arrangement, and whenever a reconsideration event occurs, whether an entity in which the Company holds an investment or in which the Company has other variable interests is considered a variable interest entity (“VIE”) in accordance with FASB ASC </w:t>
      </w:r>
      <w:r>
        <w:rPr>
          <w:rFonts w:ascii="Times New Roman" w:hAnsi="Times New Roman"/>
          <w:i/>
          <w:color w:val="000000"/>
          <w:sz w:val="20"/>
        </w:rPr>
        <w:t>Topic 810, Consolidation</w:t>
      </w:r>
      <w:r>
        <w:rPr>
          <w:rFonts w:ascii="Times New Roman" w:hAnsi="Times New Roman"/>
          <w:color w:val="000000"/>
          <w:sz w:val="20"/>
        </w:rPr>
        <w:t xml:space="preserve"> (“ASC 810”). If the entity meets the criteria to qualify as a VIE, the Company assesses whether or not the Company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is deemed the primary beneficiary of a VIE, the Company consolidates such entity and reflects the non-controlling interest of other beneficiaries of that entity. If the Company is not the primary beneficiary, no consolidation is necessary, and the Company accounts for the investment or other variable interest in accordance with applicable U.S. GAAP.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Equity Method of Accounting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circumstances where the Company has the ability to exercise significant influence, but not control, over the operating and financial policies of an entity in which the Company has a common stock or in-substance common stock investment, the Company utilizes the equity method of accounting for recording related investment activity. In assessing whether the Company exercises significant influence, the Company considers the nature and magnitude of the investment, the voting and protective rights the Company holds, any participation in the governance of the other entity and other relevant factors such as the presence of a collaborative or other business relationship.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equity method of accounting, the Company’s investments are initially recorded at cost on the consolidated balance sheets. Upon recording an equity method investment, the Company evaluates whether there are basis differences between the carrying value and fair value of the Company’s proportionate share of the investee’s underlying net assets. Typically, the Company amortizes basis differences identified on a straight-line basis over the underlying assets’ estimated useful lives when calculating the attributable earnings or losses, excluding the basis differences attributable to in-process research and development (“IPR&amp;D”) that has no alternative future use. If the Company is unable to attribute all of the basis difference to specific assets or liabilities of the investee, the residual excess of the cost of the investment over the proportional fair value of the investee’s assets and liabilities is considered to be Equity Method Goodwill and is recognized within the equity investment balance, which is tracked separately within the Company’s memo accounts. The Company subsequently records in the consolidated statements of operations and comprehensive loss its share of income or loss of the other entity within other income/expense. If the share of losses exceeds the carrying value of the Company’s investment, the Company will suspend recognizing additional losses and will continue to do so unless it commits to providing additional funding; however, if there are intra-entity profits this can cause the investment balance to go negative.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evaluates its equity method investments for impairment whenever events or changes in circumstance indicate that the carrying amounts of such investments may be impaired and considers qualitative and quantitative factors including the investee's financial metrics, product and commercial outlook and cash usage. If a decline in the value of an equity method investment is determined to be other than temporary, a loss is recorded in earnings in the current period and the investment is written down to fair value.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2023 and 2022, the Company accounted for its investment in AvenCell under the equity method of accounting and no impairment charges were recognized during the years ended December 31, 2023 or 2022. Refer to Note 10 for further details.</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accounting pronouncements adopted by the Company in 2023. </w:t>
      </w:r>
    </w:p>
    <w:p>
      <w:pPr>
        <w:pStyle w:val="TextBody"/>
        <w:bidi w:val="0"/>
        <w:spacing w:before="240" w:after="283"/>
        <w:jc w:val="both"/>
        <w:rPr>
          <w:rFonts w:ascii="Times New Roman" w:hAnsi="Times New Roman"/>
          <w:sz w:val="20"/>
        </w:rPr>
      </w:pPr>
      <w:r>
        <w:rPr>
          <w:rFonts w:ascii="Times New Roman" w:hAnsi="Times New Roman"/>
          <w:b/>
          <w:i/>
          <w:color w:val="000000"/>
          <w:sz w:val="20"/>
        </w:rPr>
        <w:t>Recent Issued Accounting Pronouncements Not Yet Effective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FASB issued ASU No. 2023-07, “Segment Reporting - Improvements to Reportable Segment Disclosures.” The amendments require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is currently evaluating the impact of adopting this ASU on its consolidated financial statements and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This ASU updates income tax disclosure requirements primarily by requiring specific categories and greater disaggregation within the rate reconciliation and disaggregation of income taxes paid by jurisdiction. This ASU is effective for annual periods beginning after December 15, 2024 and is applicable to the Company’s fiscal year beginning January 1, 2025, with early application permitted. The Company is currently evaluating the impact of adopting this ASU on its consolidated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Company’s available-for-sale marketable securities:</w:t>
      </w:r>
    </w:p>
    <w:tbl>
      <w:tblPr>
        <w:tblW w:w="10205" w:type="dxa"/>
        <w:jc w:val="left"/>
        <w:tblInd w:w="0" w:type="dxa"/>
        <w:tblLayout w:type="fixed"/>
        <w:tblCellMar>
          <w:top w:w="28" w:type="dxa"/>
          <w:left w:w="28" w:type="dxa"/>
          <w:bottom w:w="28" w:type="dxa"/>
          <w:right w:w="28" w:type="dxa"/>
        </w:tblCellMar>
      </w:tblPr>
      <w:tblGrid>
        <w:gridCol w:w="4208"/>
        <w:gridCol w:w="146"/>
        <w:gridCol w:w="211"/>
        <w:gridCol w:w="781"/>
        <w:gridCol w:w="146"/>
        <w:gridCol w:w="146"/>
        <w:gridCol w:w="433"/>
        <w:gridCol w:w="869"/>
        <w:gridCol w:w="146"/>
        <w:gridCol w:w="146"/>
        <w:gridCol w:w="326"/>
        <w:gridCol w:w="976"/>
        <w:gridCol w:w="166"/>
        <w:gridCol w:w="146"/>
        <w:gridCol w:w="247"/>
        <w:gridCol w:w="917"/>
        <w:gridCol w:w="195"/>
      </w:tblGrid>
      <w:tr>
        <w:trPr/>
        <w:tc>
          <w:tcPr>
            <w:tcW w:w="4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b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5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5" w:type="dxa"/>
            <w:tcBorders/>
            <w:shd w:fill="FFFFFF" w:val="clear"/>
            <w:vAlign w:val="center"/>
          </w:tcPr>
          <w:p>
            <w:pPr>
              <w:pStyle w:val="TableContents"/>
              <w:bidi w:val="0"/>
              <w:spacing w:before="0" w:after="283"/>
              <w:jc w:val="center"/>
              <w:rPr/>
            </w:pPr>
            <w:r>
              <w:rPr/>
              <w:t> </w:t>
            </w:r>
          </w:p>
        </w:tc>
      </w:tr>
      <w:tr>
        <w:trPr/>
        <w:tc>
          <w:tcPr>
            <w:tcW w:w="4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382,308</w:t>
            </w:r>
          </w:p>
        </w:tc>
        <w:tc>
          <w:tcPr>
            <w:tcW w:w="195" w:type="dxa"/>
            <w:tcBorders/>
            <w:shd w:fill="FFFFFF" w:val="clear"/>
            <w:vAlign w:val="center"/>
          </w:tcPr>
          <w:p>
            <w:pPr>
              <w:pStyle w:val="TableContents"/>
              <w:bidi w:val="0"/>
              <w:spacing w:before="0" w:after="283"/>
              <w:jc w:val="left"/>
              <w:rPr/>
            </w:pPr>
            <w:r>
              <w:rPr/>
              <w:t> </w:t>
            </w:r>
          </w:p>
        </w:tc>
      </w:tr>
      <w:tr>
        <w:trPr/>
        <w:tc>
          <w:tcPr>
            <w:tcW w:w="4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246,119</w:t>
            </w:r>
          </w:p>
        </w:tc>
        <w:tc>
          <w:tcPr>
            <w:tcW w:w="195" w:type="dxa"/>
            <w:tcBorders/>
            <w:shd w:fill="CFF0FC" w:val="cle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97,408</w:t>
            </w:r>
          </w:p>
        </w:tc>
        <w:tc>
          <w:tcPr>
            <w:tcW w:w="195" w:type="dxa"/>
            <w:tcBorders/>
            <w:shd w:fill="FFFFFF" w:val="clear"/>
            <w:vAlign w:val="center"/>
          </w:tcPr>
          <w:p>
            <w:pPr>
              <w:pStyle w:val="TableContents"/>
              <w:bidi w:val="0"/>
              <w:spacing w:before="0" w:after="283"/>
              <w:jc w:val="left"/>
              <w:rPr/>
            </w:pPr>
            <w:r>
              <w:rPr/>
              <w:t> </w:t>
            </w:r>
          </w:p>
        </w:tc>
      </w:tr>
      <w:tr>
        <w:trPr/>
        <w:tc>
          <w:tcPr>
            <w:tcW w:w="4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asset-backed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785,339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b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5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5" w:type="dxa"/>
            <w:tcBorders/>
            <w:shd w:fill="FFFFFF" w:val="clear"/>
            <w:vAlign w:val="center"/>
          </w:tcPr>
          <w:p>
            <w:pPr>
              <w:pStyle w:val="TableContents"/>
              <w:bidi w:val="0"/>
              <w:spacing w:before="0" w:after="283"/>
              <w:jc w:val="center"/>
              <w:rPr/>
            </w:pPr>
            <w:r>
              <w:rPr/>
              <w:t> </w:t>
            </w:r>
          </w:p>
        </w:tc>
      </w:tr>
      <w:tr>
        <w:trPr/>
        <w:tc>
          <w:tcPr>
            <w:tcW w:w="4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242,686</w:t>
            </w:r>
          </w:p>
        </w:tc>
        <w:tc>
          <w:tcPr>
            <w:tcW w:w="195" w:type="dxa"/>
            <w:tcBorders/>
            <w:shd w:fill="FFFFFF" w:val="clear"/>
            <w:vAlign w:val="center"/>
          </w:tcPr>
          <w:p>
            <w:pPr>
              <w:pStyle w:val="TableContents"/>
              <w:bidi w:val="0"/>
              <w:spacing w:before="0" w:after="283"/>
              <w:jc w:val="left"/>
              <w:rPr/>
            </w:pPr>
            <w:r>
              <w:rPr/>
              <w:t> </w:t>
            </w:r>
          </w:p>
        </w:tc>
      </w:tr>
      <w:tr>
        <w:trPr/>
        <w:tc>
          <w:tcPr>
            <w:tcW w:w="4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379,861</w:t>
            </w:r>
          </w:p>
        </w:tc>
        <w:tc>
          <w:tcPr>
            <w:tcW w:w="195" w:type="dxa"/>
            <w:tcBorders/>
            <w:shd w:fill="CFF0FC" w:val="cle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101,550</w:t>
            </w:r>
          </w:p>
        </w:tc>
        <w:tc>
          <w:tcPr>
            <w:tcW w:w="195" w:type="dxa"/>
            <w:tcBorders/>
            <w:shd w:fill="FFFFFF" w:val="clear"/>
            <w:vAlign w:val="center"/>
          </w:tcPr>
          <w:p>
            <w:pPr>
              <w:pStyle w:val="TableContents"/>
              <w:bidi w:val="0"/>
              <w:spacing w:before="0" w:after="283"/>
              <w:jc w:val="left"/>
              <w:rPr/>
            </w:pPr>
            <w:r>
              <w:rPr/>
              <w:t> </w:t>
            </w:r>
          </w:p>
        </w:tc>
      </w:tr>
      <w:tr>
        <w:trPr/>
        <w:tc>
          <w:tcPr>
            <w:tcW w:w="4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asset-backed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738,454</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amortized cost of available-for-sale securities is adjusted for amortization of premiums and accretion of discounts to maturity. At December 31, 2023 and 2022, the balance in the Company’s accumulated other comprehensive loss was composed of activity related to the Company’s available-for-sale marketable securities and equity method investment. There were no material realized gains or losses in the years ended December 31, 2023, 2022 or 2021. The Company did not reclassify any amounts out of accumulated other comprehensive loss during these periods. The Company generally does not intend to sell any investments prior to recovery of their amortized cost basis for any investment in an unrealized loss position. As such, the Company has classified these unrealized losses as temporary in 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available-for-sale securities that are classified as current marketable securities in the consolidated balance sheet mature within one year or less as of the balance sheet date. Available-for-sale securities that are classified as noncurrent marketable securities in the consolidated balance sheet are those that mature after one year but within five years from the balance sheet date and that the Company does not intend to dispose of within the next twelve months. At December 31, 2023 and 2022, the Company did not hold any investments that matured beyond five years of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Accrued interest on marketable securities is included in “Prepaid expenses and other current assets” on the Company's consolidated balance sheets.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classifies fair value-based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Level 1, quoted market prices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Company’s financial assets and liabilities recognized at fair value on a recurring basis consisted of the following:</w:t>
      </w:r>
    </w:p>
    <w:tbl>
      <w:tblPr>
        <w:tblW w:w="10112" w:type="dxa"/>
        <w:jc w:val="left"/>
        <w:tblInd w:w="0" w:type="dxa"/>
        <w:tblLayout w:type="fixed"/>
        <w:tblCellMar>
          <w:top w:w="28" w:type="dxa"/>
          <w:left w:w="28" w:type="dxa"/>
          <w:bottom w:w="28" w:type="dxa"/>
          <w:right w:w="28" w:type="dxa"/>
        </w:tblCellMar>
      </w:tblPr>
      <w:tblGrid>
        <w:gridCol w:w="4686"/>
        <w:gridCol w:w="146"/>
        <w:gridCol w:w="211"/>
        <w:gridCol w:w="931"/>
        <w:gridCol w:w="146"/>
        <w:gridCol w:w="146"/>
        <w:gridCol w:w="211"/>
        <w:gridCol w:w="781"/>
        <w:gridCol w:w="146"/>
        <w:gridCol w:w="146"/>
        <w:gridCol w:w="211"/>
        <w:gridCol w:w="781"/>
        <w:gridCol w:w="146"/>
        <w:gridCol w:w="146"/>
        <w:gridCol w:w="211"/>
        <w:gridCol w:w="676"/>
        <w:gridCol w:w="39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FFFFFF" w:val="clear"/>
            <w:vAlign w:val="center"/>
          </w:tcPr>
          <w:p>
            <w:pPr>
              <w:pStyle w:val="TableContents"/>
              <w:bidi w:val="0"/>
              <w:spacing w:before="0" w:after="283"/>
              <w:jc w:val="left"/>
              <w:rPr/>
            </w:pPr>
            <w:r>
              <w:rPr/>
              <w:t> </w:t>
            </w:r>
          </w:p>
        </w:tc>
        <w:tc>
          <w:tcPr>
            <w:tcW w:w="488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restricted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4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FFFFFF" w:val="clear"/>
            <w:vAlign w:val="center"/>
          </w:tcPr>
          <w:p>
            <w:pPr>
              <w:pStyle w:val="TableContents"/>
              <w:bidi w:val="0"/>
              <w:spacing w:before="0" w:after="283"/>
              <w:jc w:val="center"/>
              <w:rPr/>
            </w:pPr>
            <w:r>
              <w:rPr/>
              <w:t> </w:t>
            </w:r>
          </w:p>
        </w:tc>
        <w:tc>
          <w:tcPr>
            <w:tcW w:w="488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restricted cash equivalents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4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the Company’s financial assets, including cash equivalents, restricted cash equivalents and marketable securities, have been initially valued at the transaction price, and subsequently revalued at the end of each reporting period, utilizing third party pricing services or other observable market data. The pricing services utilize industry standard valuation models and observable market inputs to determine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financial instruments, including accounts receivable, accounts payable and accrued expense, are carried at cost, which approximates fair value due to the short duration and term to maturity.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Level 3 Assets and Liabilities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Equity-Method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equity-method investment in AvenCell is classified as a Level 3 asset and is not included in the fair value table above as it is not valued at fair value on a recurring basis. Refer to Note 10 for further details. The carrying value of the Company’s equity-method investment as of December 31, 2023 and 2022 was $11.8 million and $32.5 million, respectively.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other investments are classified as Level 3 assets and are not included in the fair value table above as they are not valued at fair value on a recurring basis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Company’s investment in SparingVision was initially recorded at fair value, determined according to Level 3 inputs in the fair value hierarchy described above. The SparingVision investment is included in “Investments and other assets” on the consolidated balance sheets. </w:t>
      </w:r>
      <w:r>
        <w:rPr>
          <w:rFonts w:ascii="Times New Roman" w:hAnsi="Times New Roman"/>
          <w:color w:val="242424"/>
          <w:sz w:val="20"/>
        </w:rPr>
        <w:t xml:space="preserve">This investment is accounted for using the measurement alternative at cost minus impairment adjusted for changes in observable prices. </w:t>
      </w:r>
      <w:r>
        <w:rPr>
          <w:rFonts w:ascii="Times New Roman" w:hAnsi="Times New Roman"/>
          <w:color w:val="000000"/>
          <w:sz w:val="20"/>
        </w:rPr>
        <w:t>There were no changes in observable prices or impairment of this investment as of December 31, 2023 or 2022. The carrying value of the SparingVision investment was $14.8 million as of December 31, 2023 and 2022. Refer to Note 10 for further details.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Company’s investment in Kyverna was initially recorded at cost, which is representative of fair value. The Kyverna investment is included in “Investments and other assets” on the consolidated balance sheets. </w:t>
      </w:r>
      <w:r>
        <w:rPr>
          <w:rFonts w:ascii="Times New Roman" w:hAnsi="Times New Roman"/>
          <w:color w:val="242424"/>
          <w:sz w:val="20"/>
        </w:rPr>
        <w:t xml:space="preserve">This investment is accounted for using the measurement alternative at cost minus impairment adjusted for changes in observable prices. </w:t>
      </w:r>
      <w:r>
        <w:rPr>
          <w:rFonts w:ascii="Times New Roman" w:hAnsi="Times New Roman"/>
          <w:color w:val="000000"/>
          <w:sz w:val="20"/>
        </w:rPr>
        <w:t>There were no changes in observable prices or impairment of this investment as of December 31, 2023 or 2022. The carrying value of the Kyverna investment was $10.0 million as of December 31, 2023 and 2022. Refer to Note 10 for further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further in Note 11, as part of its acquisition of Rewrite, the Company made a $25.0 million research milestone payment in February of 2023, payable in a combination of $0.9 million in cash and the remainder in the Company’s common stock. The milestone payable in the Company’s common stock resulted in liability classification under ASC 480. This contingent consideration liability was carried at fair value which was estimated by applying a probability-based model, which utilized inputs based on timing of achievements that were unobservable in the market. The contingent consideration liability was classified within Level 3 of the fair value hierarchy until it was settled in February of 2023.</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reconciles the change in fair value of the contingent consideration liability based on the level 3 inputs listed below for the years ended December 31, 2023 and 2022 (in thousands):</w:t>
      </w:r>
    </w:p>
    <w:tbl>
      <w:tblPr>
        <w:tblW w:w="4699" w:type="dxa"/>
        <w:jc w:val="left"/>
        <w:tblInd w:w="0" w:type="dxa"/>
        <w:tblLayout w:type="fixed"/>
        <w:tblCellMar>
          <w:top w:w="28" w:type="dxa"/>
          <w:left w:w="28" w:type="dxa"/>
          <w:bottom w:w="28" w:type="dxa"/>
          <w:right w:w="28" w:type="dxa"/>
        </w:tblCellMar>
      </w:tblPr>
      <w:tblGrid>
        <w:gridCol w:w="3541"/>
        <w:gridCol w:w="211"/>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February 2, 2022 (at inception)</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w:t>
            </w:r>
          </w:p>
        </w:tc>
        <w:tc>
          <w:tcPr>
            <w:tcW w:w="21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24,026</w:t>
            </w:r>
          </w:p>
        </w:tc>
        <w:tc>
          <w:tcPr>
            <w:tcW w:w="21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contingent consideration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58" w:type="dxa"/>
        <w:jc w:val="left"/>
        <w:tblInd w:w="0" w:type="dxa"/>
        <w:tblLayout w:type="fixed"/>
        <w:tblCellMar>
          <w:top w:w="28" w:type="dxa"/>
          <w:left w:w="28" w:type="dxa"/>
          <w:bottom w:w="28" w:type="dxa"/>
          <w:right w:w="28" w:type="dxa"/>
        </w:tblCellMar>
      </w:tblPr>
      <w:tblGrid>
        <w:gridCol w:w="2566"/>
        <w:gridCol w:w="2626"/>
        <w:gridCol w:w="1966"/>
      </w:tblGrid>
      <w:tr>
        <w:trPr/>
        <w:tc>
          <w:tcPr>
            <w:tcW w:w="256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left"/>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inception (February 2, 2022)</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26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9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w:t>
            </w:r>
          </w:p>
        </w:tc>
        <w:tc>
          <w:tcPr>
            <w:tcW w:w="26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9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year of achievement</w:t>
            </w:r>
          </w:p>
        </w:tc>
        <w:tc>
          <w:tcPr>
            <w:tcW w:w="26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Property and equipment, net consisted of the following: </w:t>
      </w:r>
    </w:p>
    <w:tbl>
      <w:tblPr>
        <w:tblW w:w="6674"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11"/>
        <w:gridCol w:w="73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51,911</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61,120</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Depreciation and amortization expense was $9.0 million, $7.6 million and $6.9 million for the years ended December 31, 2023, 2022 and 2021, respectively.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consisted of the following:</w:t>
      </w:r>
    </w:p>
    <w:tbl>
      <w:tblPr>
        <w:tblW w:w="5809"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11"/>
        <w:gridCol w:w="676"/>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32,684</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21,778</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construction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did not record net income tax benefits for the operating losses incurred during the periods presented due to the uncertainty of realizing a tax benefit from those losses. Accordingly, any benefit recorded related to these deferred tax assets was offset by a valuation allowance reflecting management’s conclusion that realization of those assets was not more likely than not.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reconciliation of the federal statutory income tax rate and the Company’s effective income tax rate is as follows: </w:t>
      </w:r>
    </w:p>
    <w:p>
      <w:pPr>
        <w:pStyle w:val="TextBody"/>
        <w:bidi w:val="0"/>
        <w:jc w:val="both"/>
        <w:rPr/>
      </w:pPr>
      <w:r>
        <w:rPr/>
        <w:t> </w:t>
      </w:r>
    </w:p>
    <w:tbl>
      <w:tblPr>
        <w:tblW w:w="6748" w:type="dxa"/>
        <w:jc w:val="left"/>
        <w:tblInd w:w="0" w:type="dxa"/>
        <w:tblLayout w:type="fixed"/>
        <w:tblCellMar>
          <w:top w:w="28" w:type="dxa"/>
          <w:left w:w="28" w:type="dxa"/>
          <w:bottom w:w="28" w:type="dxa"/>
          <w:right w:w="28" w:type="dxa"/>
        </w:tblCellMar>
      </w:tblPr>
      <w:tblGrid>
        <w:gridCol w:w="3256"/>
        <w:gridCol w:w="146"/>
        <w:gridCol w:w="146"/>
        <w:gridCol w:w="526"/>
        <w:gridCol w:w="331"/>
        <w:gridCol w:w="146"/>
        <w:gridCol w:w="146"/>
        <w:gridCol w:w="526"/>
        <w:gridCol w:w="331"/>
        <w:gridCol w:w="146"/>
        <w:gridCol w:w="146"/>
        <w:gridCol w:w="526"/>
        <w:gridCol w:w="3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officers'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CFF0FC"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6" w:type="dxa"/>
            <w:tcBorders/>
            <w:shd w:fill="FFFFFF" w:val="clear"/>
            <w:vAlign w:val="center"/>
          </w:tcPr>
          <w:p>
            <w:pPr>
              <w:pStyle w:val="TableContents"/>
              <w:bidi w:val="0"/>
              <w:spacing w:before="0" w:after="283"/>
              <w:jc w:val="lef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net deferred tax assets (liabilities) consisted of the following: </w:t>
      </w:r>
    </w:p>
    <w:p>
      <w:pPr>
        <w:pStyle w:val="TextBody"/>
        <w:bidi w:val="0"/>
        <w:jc w:val="left"/>
        <w:rPr/>
      </w:pPr>
      <w:r>
        <w:rPr/>
        <w:t> </w:t>
      </w:r>
    </w:p>
    <w:tbl>
      <w:tblPr>
        <w:tblW w:w="7724" w:type="dxa"/>
        <w:jc w:val="left"/>
        <w:tblInd w:w="0" w:type="dxa"/>
        <w:tblLayout w:type="fixed"/>
        <w:tblCellMar>
          <w:top w:w="28" w:type="dxa"/>
          <w:left w:w="28" w:type="dxa"/>
          <w:bottom w:w="28" w:type="dxa"/>
          <w:right w:w="28" w:type="dxa"/>
        </w:tblCellMar>
      </w:tblPr>
      <w:tblGrid>
        <w:gridCol w:w="4951"/>
        <w:gridCol w:w="146"/>
        <w:gridCol w:w="211"/>
        <w:gridCol w:w="841"/>
        <w:gridCol w:w="166"/>
        <w:gridCol w:w="146"/>
        <w:gridCol w:w="211"/>
        <w:gridCol w:w="841"/>
        <w:gridCol w:w="21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229,375</w:t>
            </w:r>
          </w:p>
        </w:tc>
        <w:tc>
          <w:tcPr>
            <w:tcW w:w="211" w:type="dxa"/>
            <w:tcBorders/>
            <w:shd w:fill="FFFFFF" w:val="clear"/>
            <w:vAlign w:val="center"/>
          </w:tcPr>
          <w:p>
            <w:pPr>
              <w:pStyle w:val="TableContents"/>
              <w:bidi w:val="0"/>
              <w:spacing w:before="0" w:after="283"/>
              <w:jc w:val="left"/>
              <w:rPr/>
            </w:pPr>
            <w:r>
              <w:rPr/>
              <w:t> </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101,326</w:t>
            </w:r>
          </w:p>
        </w:tc>
        <w:tc>
          <w:tcPr>
            <w:tcW w:w="211" w:type="dxa"/>
            <w:tcBorders/>
            <w:shd w:fill="CFF0FC" w:val="cle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174 capitalized research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78,873</w:t>
            </w:r>
          </w:p>
        </w:tc>
        <w:tc>
          <w:tcPr>
            <w:tcW w:w="211" w:type="dxa"/>
            <w:tcBorders/>
            <w:shd w:fill="FFFFFF" w:val="clear"/>
            <w:vAlign w:val="center"/>
          </w:tcPr>
          <w:p>
            <w:pPr>
              <w:pStyle w:val="TableContents"/>
              <w:bidi w:val="0"/>
              <w:spacing w:before="0" w:after="283"/>
              <w:jc w:val="left"/>
              <w:rPr/>
            </w:pPr>
            <w:r>
              <w:rPr/>
              <w:t> </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35,386</w:t>
            </w:r>
          </w:p>
        </w:tc>
        <w:tc>
          <w:tcPr>
            <w:tcW w:w="211" w:type="dxa"/>
            <w:tcBorders/>
            <w:shd w:fill="CFF0FC" w:val="cle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w:t>
            </w:r>
          </w:p>
        </w:tc>
        <w:tc>
          <w:tcPr>
            <w:tcW w:w="211" w:type="dxa"/>
            <w:tcBorders/>
            <w:shd w:fill="FFFFFF" w:val="clear"/>
            <w:vAlign w:val="center"/>
          </w:tcPr>
          <w:p>
            <w:pPr>
              <w:pStyle w:val="TableContents"/>
              <w:bidi w:val="0"/>
              <w:spacing w:before="0" w:after="283"/>
              <w:jc w:val="left"/>
              <w:rPr/>
            </w:pPr>
            <w:r>
              <w:rPr/>
              <w:t> </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w:t>
            </w:r>
          </w:p>
        </w:tc>
        <w:tc>
          <w:tcPr>
            <w:tcW w:w="211" w:type="dxa"/>
            <w:tcBorders/>
            <w:shd w:fill="CFF0FC" w:val="cle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and allowances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w:t>
            </w:r>
          </w:p>
        </w:tc>
        <w:tc>
          <w:tcPr>
            <w:tcW w:w="211" w:type="dxa"/>
            <w:tcBorders/>
            <w:shd w:fill="FFFFFF" w:val="clear"/>
            <w:vAlign w:val="center"/>
          </w:tcPr>
          <w:p>
            <w:pPr>
              <w:pStyle w:val="TableContents"/>
              <w:bidi w:val="0"/>
              <w:spacing w:before="0" w:after="283"/>
              <w:jc w:val="left"/>
              <w:rPr/>
            </w:pPr>
            <w:r>
              <w:rPr/>
              <w:t> </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211" w:type="dxa"/>
            <w:tcBorders/>
            <w:shd w:fill="CFF0FC" w:val="cle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211" w:type="dxa"/>
            <w:tcBorders/>
            <w:shd w:fill="FFFFFF" w:val="clear"/>
            <w:vAlign w:val="center"/>
          </w:tcPr>
          <w:p>
            <w:pPr>
              <w:pStyle w:val="TableContents"/>
              <w:bidi w:val="0"/>
              <w:spacing w:before="0" w:after="283"/>
              <w:jc w:val="left"/>
              <w:rPr/>
            </w:pPr>
            <w:r>
              <w:rPr/>
              <w:t> </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including in-process 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211" w:type="dxa"/>
            <w:tcBorders/>
            <w:shd w:fill="CFF0FC" w:val="cle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start-up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491,580</w:t>
            </w:r>
          </w:p>
        </w:tc>
        <w:tc>
          <w:tcPr>
            <w:tcW w:w="211" w:type="dxa"/>
            <w:tcBorders/>
            <w:shd w:fill="CFF0FC" w:val="cle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Tax Cuts and Jobs Act (“TCJA”) requires taxpayers to capitalize and amortize, rather than deduct, research and development expenditures under section 174 for tax years beginning after December 31, 2021. These rules became effective for the Company during the year ended December 31, 2022. As a result, the Company has capitalized research and development costs of $322.6 million and $365.8 million for the years ended December 31, 2022 and December 31, 2023, respectively. The Company will amortize these costs for tax purposes over 5 years if the research and development was performed in the U.S. and over 15 years if the research and development was performed outside the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2023 and 2022, the Company had federal net operating loss carryforwards of $954.0 million and $852.1 million, respectively, which may be available to offset future income tax liabilities.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Approximately $36.9 million of the federal net operating losses generated prior to 2018 will begin to expire in 2034, unless previously utilized. Losses incurred prior to 2018 will generally be deductible to the extent of the lesser of a corporation’s net operating loss carryover or 100% of a corporation’s taxable income and be available for twenty years from the period the loss was generated. The federal net operating losses generated after 2017 of approximately $917.1 million will be carried over indefinitely, but will generally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 the net operating loss deduction to the lesser of the net operating loss carryforward or 80% of a corporation’s taxable income (subject to Section 382 of the Internal Revenue Code of 1986, as amended). Also, there will be no carryback for losses incurred after 2017.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2022, the Company also had state net operating loss carryforwards of $922.8 million and $797.8 million, respectively, which may be available to offset future income tax liabilities and begin to expire in 2034.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2022, the Company had federal tax credit carryforwards of approximately $100.7 million and $63.4 million, respectively, which begin to expire in 2034. As of December 31, 2023 and 2022, the Company had state research and development and other credit carryforwards of approximately $64.1 million and $48.0 million, which begin to expire in 2029.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evaluated the expected realizability of its net deferred tax assets and determined that there was significant negative evidence due to its net operating loss position and insufficient positive evidence to support the realizability of these net deferred tax assets. The Company concluded it is more likely than not that its net deferred tax assets would not be realized in the future; therefore, the Company has provided a full valuation allowance against its net deferred tax asset balance as of December 31, 2023 and 2022. The valuation allowance increased by $161.3 million in 2023, $150.0 million in 2022, and $163.9 million in 2021.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Ownership changes may limit the amount of net operating loss carryforwards or research and development tax credit carryforwards that can be utilized to offset future taxable income or tax liability. In general, an ownership change, as defined by Sections 382 and 383 of the Internal Revenue Code of 1986, as amended (the “Code”), results from transactions increasing the ownership of certain shareholders or public groups in the stock of a corporation by more than 50% over a three-year period. If the Company has experienced a change of control, utilization of the net operating loss carryforwards or research and development tax credit carryforwards would be subject to an annual limitation under Section 382 and 383 of the Code. Any limitation may result in expiration of a portion of the net operating loss carryforwards or research and development tax credit carryforwards before utilization. During 2022, the Company completed an assessment of the available net operating loss carryforwards and other tax attributes under Section 382 that covered the period from inception through December 31, 2022. The analysis did not result in a material limitation to the Company’s tax attributes and the results of this analysis are reflected herein. The Company has not completed an analysis through December 31, 2023. To the extent there was a change in control during 2023, the Company's tax attributes could be subject to limitation. However, a full valuation allowance has been provided against the deferred tax assets related to the Company’s net operating loss and tax credit carryforwards and, if an adjustment is required, this adjustment would be offset by an adjustment to the valuation allowance.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 Company had not identified any unrecognized tax benefits. The Company will recognize interest and/or penalties related to uncertain tax benefits in income tax expense if they arise.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files income tax returns in the U.S. federal tax jurisdiction and Massachusetts and various other state tax jurisdictions. The Company is subject to examination by the Internal Revenue Service, Massachusetts taxing authorities and state taxing authorities for tax year 2020 through present. To the extent that the Company has tax attribute carryforwards, the tax year in which the attributes were generated may still be adjusted upon examination by the Internal Revenue Service or State taxing authorities to the extent utilized in a future period. The returns in these jurisdictions since inception remain open for examination; however, there are currently no pending tax examinations.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Litigation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is involved in legal and administrative proceedings and claims of various types. In some actions, the claimants seek damages, as well as other relief, which, if granted, would require significant expenditures.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to the Company and the amount of the loss can be reasonably estimated, the Company estimates and discloses the possible loss or range of loss. If the loss is not probable or cannot be reasonably estimated, a liability is not recorded in its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2023, there have been no material changes to any outstanding litigation, nor is the Company a party to any significant new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party to license agreements, which include contingent payments. These payments will become payable if and when certain development, regulatory and commercial milestones are achieved. As of December 31, 2023, the satisfaction and timing of the contingent payments is uncertain and not reasonably estimable.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Collaborations and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accelerate the development and commercialization of CRISPR/Cas9-based products in multiple therapeutic areas, the Company has formed, and intends to seek other opportunities to form, strategic alliances with collaborators who can augment its leadership in CRISPR/Cas9 therapeutic development. As of December 31, 2023, the Company’s accounts receivable were related to its collaborations with Regeneron, SparingVision, AvenCell and Kyverna and the Company’s contract liabilities were related to its collaborations with Regeneron and SparingVision. As of December 31, 2022, the Company’s accounts receivable were related to its collaborations with Regeneron, AvenCell, SparingVision and ONK and the Company’s contract liabilities were related to its collaborations with Regeneron, AvenCell, SparingVision and Kyverna.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changes in the Company’s accounts receivable and contract liabilities (in thousands):</w:t>
      </w:r>
    </w:p>
    <w:tbl>
      <w:tblPr>
        <w:tblW w:w="8438" w:type="dxa"/>
        <w:jc w:val="left"/>
        <w:tblInd w:w="0" w:type="dxa"/>
        <w:tblLayout w:type="fixed"/>
        <w:tblCellMar>
          <w:top w:w="28" w:type="dxa"/>
          <w:left w:w="28" w:type="dxa"/>
          <w:bottom w:w="28" w:type="dxa"/>
          <w:right w:w="28" w:type="dxa"/>
        </w:tblCellMar>
      </w:tblPr>
      <w:tblGrid>
        <w:gridCol w:w="3151"/>
        <w:gridCol w:w="146"/>
        <w:gridCol w:w="217"/>
        <w:gridCol w:w="803"/>
        <w:gridCol w:w="146"/>
        <w:gridCol w:w="146"/>
        <w:gridCol w:w="211"/>
        <w:gridCol w:w="676"/>
        <w:gridCol w:w="146"/>
        <w:gridCol w:w="146"/>
        <w:gridCol w:w="211"/>
        <w:gridCol w:w="736"/>
        <w:gridCol w:w="166"/>
        <w:gridCol w:w="146"/>
        <w:gridCol w:w="285"/>
        <w:gridCol w:w="915"/>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End</w:t>
              <w:br/>
              <w:t>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2023</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deferred revenue</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End</w:t>
              <w:br/>
              <w:t>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2022</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deferred revenue</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recognized the following revenues as a result of changes in the contract liability balance (in thousands):</w:t>
      </w:r>
    </w:p>
    <w:tbl>
      <w:tblPr>
        <w:tblW w:w="10205" w:type="dxa"/>
        <w:jc w:val="left"/>
        <w:tblInd w:w="0" w:type="dxa"/>
        <w:tblLayout w:type="fixed"/>
        <w:tblCellMar>
          <w:top w:w="28" w:type="dxa"/>
          <w:left w:w="28" w:type="dxa"/>
          <w:bottom w:w="28" w:type="dxa"/>
          <w:right w:w="28" w:type="dxa"/>
        </w:tblCellMar>
      </w:tblPr>
      <w:tblGrid>
        <w:gridCol w:w="5113"/>
        <w:gridCol w:w="146"/>
        <w:gridCol w:w="330"/>
        <w:gridCol w:w="1059"/>
        <w:gridCol w:w="146"/>
        <w:gridCol w:w="146"/>
        <w:gridCol w:w="330"/>
        <w:gridCol w:w="1059"/>
        <w:gridCol w:w="146"/>
        <w:gridCol w:w="146"/>
        <w:gridCol w:w="330"/>
        <w:gridCol w:w="1059"/>
        <w:gridCol w:w="195"/>
      </w:tblGrid>
      <w:tr>
        <w:trPr/>
        <w:tc>
          <w:tcPr>
            <w:tcW w:w="5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1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recognized in the period from:</w:t>
            </w:r>
          </w:p>
        </w:tc>
        <w:tc>
          <w:tcPr>
            <w:tcW w:w="146" w:type="dxa"/>
            <w:tcBorders/>
            <w:shd w:fill="FFFFFF" w:val="clear"/>
            <w:vAlign w:val="center"/>
          </w:tcPr>
          <w:p>
            <w:pPr>
              <w:pStyle w:val="TableContents"/>
              <w:bidi w:val="0"/>
              <w:spacing w:before="0" w:after="283"/>
              <w:jc w:val="lef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the contract liability at the beginning of the period</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Costs to obtain and fulfill a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not incurred significant expenses to obtain collaboration agreements and costs to fulfill those contracts do not generate or enhance resources of the Company. As such, no costs to obtain or fulfill a contract have been capitalized in any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Regeneron Pharmaceuticals,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2016, the Company entered into a license and collaboration agreement with Regeneron (as amended from time to time, the “2016 Regeneron Agreement”). The 2016 Regeneron Agreement has two principal components: i) a product development component under which the parties will research, develop and commercialize CRISPR/Cas-based therapeutic products primarily focused on genome editing in the liver, and ii) a technology collaboration component, pursuant to which the Company and Regeneron will engage in research-related activities aimed at discovering and developing novel technologies and improvements to CRISPR/Cas technology to enhance the Company’s genome editing platform. Under this agreement, the Company also may access the Regeneron Genetics Center and proprietary mouse models to be provided by Regeneron for a limited number of the Company’s liver programs. At the inception of the 2016 Regeneron Agreement, Regeneron selected the first of its 10 targets, transthyretin (“ATTR”) amyloidosis, which is subject to a co-development and co-promotion agreement between the Company and Regeneron (the “ATTR Co/Co”).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2016 Regeneron Agreement, the Company received a nonrefundable upfront payment of $75.0 million. In addition, on Regeneron programs that are not subject to Co/Co agreements, the Company may be eligible to earn, on a per-licensed target basis, (i) up to $25.0 million in development milestones, including for the dosing of the first patient in each of Phase I, Phase II and Phase III clinical trials, (ii) up to $110.0 million in regulatory milestones, including for the acceptance of a regulatory filing in the U.S., and for obtaining regulatory approval in the U.S. and in certain other identified countries, and (iii) up to $185.0 million in sales-based milestone payments. The Company is also eligible to earn royalties ranging from the high-single digits to low teens, in each case, on a per-product basis, which royalties are potentially subject to various reductions and offsets and incorporate the Company’s existing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low- to mid-single-digit royalty obligations under a license agreement with Caribou. In connection with the 2016 Regeneron Agreement, Regeneron purchased $50.0 million of the Company’s common stock in a private placement under a stock purchase agreement concurrent with the Company’s IPO.</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2020, the Company entered into (i) amendment no. 1 (the “2020 Regeneron Amendment”) to the 2016 Regeneron Agreement, (ii) co-development and co-funding agreements for the treatment of hemophilia A and hemophilia B (the “Hemophilia Co/Co”) agreements and (iii) a stock purchase agreement. The collaboration expansion builds upon the jointly developed targeted transgene insertion capabilities designed to durably restore missing therapeutic protein, and to overcome the limitations of traditional gene therapy. The technology collaboration was extended until April 2024, at which point Regeneron would have an option to renew for an additional two years. The 2020 Regeneron Amendment also granted Regeneron exclusive rights to develop products for five additional </w:t>
      </w:r>
      <w:r>
        <w:rPr>
          <w:rFonts w:ascii="Times New Roman" w:hAnsi="Times New Roman"/>
          <w:i/>
          <w:color w:val="000000"/>
          <w:sz w:val="20"/>
        </w:rPr>
        <w:t>in vivo</w:t>
      </w:r>
      <w:r>
        <w:rPr>
          <w:rFonts w:ascii="Times New Roman" w:hAnsi="Times New Roman"/>
          <w:color w:val="000000"/>
          <w:sz w:val="20"/>
        </w:rPr>
        <w:t xml:space="preserve"> CRISPR/Cas-based therapeutic liver targets and non-exclusive rights to independently develop and commercialize up to 10 </w:t>
      </w:r>
      <w:r>
        <w:rPr>
          <w:rFonts w:ascii="Times New Roman" w:hAnsi="Times New Roman"/>
          <w:i/>
          <w:color w:val="000000"/>
          <w:sz w:val="20"/>
        </w:rPr>
        <w:t>ex vivo</w:t>
      </w:r>
      <w:r>
        <w:rPr>
          <w:rFonts w:ascii="Times New Roman" w:hAnsi="Times New Roman"/>
          <w:color w:val="000000"/>
          <w:sz w:val="20"/>
        </w:rPr>
        <w:t xml:space="preserve"> gene edited products made using certain defined cell types.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part of the consideration for the 2020 Regeneron Amendment, Regeneron paid the Company an upfront payment of $70.0 million, which included the $25.0 million fee to extend the Technology Collaboration Term, as defined in the 2016 Regeneron Agreement, to April 2024. The potential future milestones and royalties remain unchanged from the 2016 Regeneron Agreement. In addition, on May 30, 2020, the Company and Regeneron entered into the 2020 Stock Purchase Agreement. </w:t>
      </w:r>
      <w:r>
        <w:rPr>
          <w:rFonts w:ascii="Times New Roman" w:hAnsi="Times New Roman"/>
          <w:color w:val="212529"/>
          <w:sz w:val="20"/>
        </w:rPr>
        <w:t xml:space="preserve">Under the 2020 Stock Purchase Agreement, the Company sold to Regeneron 925,218 shares of its common stock, par value $0.0001 per share, for aggregate cash consideration of $30.0 million, or $32.42 per share (the “Equity Transaction”), representing a 100% premium over the volume-weighted average trading price of the Company’s common stock during the 30-day period prior to the closing of the Equity Transaction. Under the 2020 Stock Purchase Agreement, Regeneron will not dispose of any shares of common stock it beneficially owns in the Company until the termination of the Technology Collaboration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2023, Regeneron notified the Company that it was exercising its one-time option to extend the Technology Collaboration Term for an additional two years (the “2024 Technology Collaboration Extension”), until April 2026, in exchange for a nonrefundable payment of $30.0 million due in April 2024.</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2024 Technology Collaboration Extension: Accounting Analysis. </w:t>
      </w:r>
      <w:r>
        <w:rPr>
          <w:rFonts w:ascii="Times New Roman" w:hAnsi="Times New Roman"/>
          <w:color w:val="000000"/>
          <w:sz w:val="20"/>
        </w:rPr>
        <w:t xml:space="preserve">The 2024 Technology Collaboration Extension was accounted for as a contract modification. The promised goods and services under the 2024 Technology Collaboration Extension are not distinct from the combined performance obligations identified in the 2020 Regeneron Amendment, which was only partially satisfied at the date of option exercise. A cumulative catch-up adjustment was recorded during the fourth quarter of 2023 resulting in a charge of $10.3 million against revenue previously recognized.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transaction price of the 2024 Technology Collaboration Extension was determined to be $51.7 million, which is comprised of the $11.4 million remaining consideration under the 2020 Regeneron Amendment as of the modification date, the $30.0 million extension fee and the $10.3 million cumulative catch-up adjustment. The $51.7 million transaction price was allocated to the performance obligations including the licenses to targets and associated research activities and evaluation plans and the combined performance obligation including the technology collaboration and associated research activities, on a relative standalone selling price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this evaluation, the Company allocated $48.3 million to the combined performance obligation including the licenses to targets and associated research activities and evaluation plans and $3.4 million to the combined performance obligation including the technology collaboration and associated research activities, which are being recognized using a time elapsed inputs method from the October 2023 extension date through April 2026, the remaining period of the collaboration.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ATTR and Hemophilia Co/Co Agreements: Accounting Analysis. </w:t>
      </w:r>
      <w:r>
        <w:rPr>
          <w:rFonts w:ascii="Times New Roman" w:hAnsi="Times New Roman"/>
          <w:color w:val="000000"/>
          <w:sz w:val="20"/>
        </w:rPr>
        <w:t>The Company concluded that the ATTR Co/Co and Hemophilia Co/Co agreements meet the definition of a collaborative arrangement per ASC 808, which is outside of the scope of ASC 606. Since ASC 808 does not provide recognition and measurement guidance for collaborative arrangements, the Company has analogized to ASC 606. As such, the Company classifies cumulative amounts paid or received under the cost sharing provisions of the ATTR Co/Co and the Hemophilia Co/Co agreements as a component of revenues in the consolidated statements of operations and comprehensive loss, to the extent that this does not result in a cumulative “negative revenue” amount, in which case the cumulative shortfall would be reclassified as an expense.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2023, Regeneron and Intellia further expanded the research collaboration (the “2023 Regeneron Amendment”) to develop additional </w:t>
      </w:r>
      <w:r>
        <w:rPr>
          <w:rFonts w:ascii="Times New Roman" w:hAnsi="Times New Roman"/>
          <w:i/>
          <w:color w:val="000000"/>
          <w:sz w:val="20"/>
        </w:rPr>
        <w:t>in vivo</w:t>
      </w:r>
      <w:r>
        <w:rPr>
          <w:rFonts w:ascii="Times New Roman" w:hAnsi="Times New Roman"/>
          <w:color w:val="000000"/>
          <w:sz w:val="20"/>
        </w:rPr>
        <w:t xml:space="preserve"> CRISPR-based gene editing therapies focused on neurological and muscular diseases. The collaboration will leverage Intellia’s proprietary Nme2 CRISPR/Cas9 genome editing systems adapted for viral vector delivery and designed to precisely modify a target gene and Regeneron’s proprietary antibody-targeted adeno-associated virus vectors and delivery systems. Under the terms of the expanded research collaboration, the companies will initially research two </w:t>
      </w:r>
      <w:r>
        <w:rPr>
          <w:rFonts w:ascii="Times New Roman" w:hAnsi="Times New Roman"/>
          <w:i/>
          <w:color w:val="000000"/>
          <w:sz w:val="20"/>
        </w:rPr>
        <w:t xml:space="preserve">in vivo </w:t>
      </w:r>
      <w:r>
        <w:rPr>
          <w:rFonts w:ascii="Times New Roman" w:hAnsi="Times New Roman"/>
          <w:color w:val="000000"/>
          <w:sz w:val="20"/>
        </w:rPr>
        <w:t xml:space="preserve">non-liver targets. Intellia will lead the design of the editing methodology and Regeneron will lead the design of the targeted viral vector delivery approach and the parties will share research costs equally. Each party will have the opportunity to lead potential development and commercialization for one product candidate,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party that is not leading development and commercialization will have the option to enter into a co-development and co-promotion agreement for the target.</w:t>
      </w:r>
    </w:p>
    <w:p>
      <w:pPr>
        <w:pStyle w:val="TextBody"/>
        <w:bidi w:val="0"/>
        <w:spacing w:before="240" w:after="283"/>
        <w:jc w:val="both"/>
        <w:rPr>
          <w:rFonts w:ascii="Times New Roman" w:hAnsi="Times New Roman"/>
          <w:sz w:val="20"/>
        </w:rPr>
      </w:pPr>
      <w:r>
        <w:rPr>
          <w:rFonts w:ascii="Times New Roman" w:hAnsi="Times New Roman"/>
          <w:i/>
          <w:color w:val="000000"/>
          <w:sz w:val="20"/>
        </w:rPr>
        <w:t>2023 Regeneron Amendment: Accounting Analysis</w:t>
      </w:r>
      <w:r>
        <w:rPr>
          <w:rFonts w:ascii="Times New Roman" w:hAnsi="Times New Roman"/>
          <w:color w:val="000000"/>
          <w:sz w:val="20"/>
        </w:rPr>
        <w:t>. The Company concluded that the accounting for the 2023 Regeneron Amendment is within the scope of ASC 606. The Company identified one performance obligation, the transfer of the license and performance of collaborative research and development activities. There is no upfront consideration related to the 2023 Regeneron Amendment. As the 2023 Regeneron Amendment progresses, the Company and Regeneron will share research costs equally. Any cost reimbursements received from Regeneron will be recorded as a component of revenue and any payments made to Regeneron will be recorded as a reduction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December 31, 2022, there have been no material changes to the key terms of the 2016 Regeneron Agreement, ATTR Co/Co or Hemophilia Co/Co (the “Regeneron Agreements”), other than as described above. For further information on the terms and conditions of these agreements, see the notes to the consolidated financial statements included in the Company’s Annual Report for the year ended December 31, 2022.</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Revenue Recognition: Collaboration Revenue. </w:t>
      </w:r>
      <w:r>
        <w:rPr>
          <w:rFonts w:ascii="Times New Roman" w:hAnsi="Times New Roman"/>
          <w:color w:val="000000"/>
          <w:sz w:val="20"/>
        </w:rPr>
        <w:t>The Company recognized $21.0 million, $24.1 million and $25.7 million of collaboration revenue in the years ended December 31, 2023, 2022 and 2021, respectively, in the consolidated statements of operations and comprehensive loss. This includes $19.6 million, $11.9 million, and $5.9 million, respectively, primarily representing payments due from Regeneron pursuant to the ATTR Co/Co agreement. These revenues are offset in part by contra-revenue related to the Hemophilia Co/Co agreements amounting to approximately $10.7 million in the year ended December 31, 2023, $10.4 million in the year ended December 31, 2022 and $2.7 million in the year ended December 31, 2021.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2023, there was approximately $47.1 million of the aggregate transaction price remaining to be recognized that will be recognized through April 2026, the remaining period of the collaboration.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and 2022, the Company had accounts receivable of $35.7 million and $3.2 million, respectively, and deferred revenue of $47.1 million and $28.8 million, respectively, related to the Regeneron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AvenCell Therapeutics,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2021, the Company entered into two agreements with AvenCell, a privately held chimeric antigen receptor T (“CAR-T”) cell therapy company formed on that date in a joint venture between the Company, Cellex Cell Professionals GmbH (“Cellex”) and funds managed by Blackstone Life Sciences Advisors L.L.C. (“BXLS”): (i) a license and collaboration agreement (the “AvenCell LCA”), under which the Company will collaborate to develop allogeneic universal CAR-T cell therapies and which granted AvenCell a license to develop and commercialize genome edited universal CAR-T cell therapies (limited to its use with their switchable, universal CAR-T cell UniCAR and RevCAR platforms); and (ii) a co-development and co-funding agreement (the “AvenCell Co/Co”), under which the Company will co-develop and co-commercialize allogeneic universal CAR-T cell products for an immuno-oncology indication.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2022, the Company decided to re-prioritize its </w:t>
      </w:r>
      <w:r>
        <w:rPr>
          <w:rFonts w:ascii="Times New Roman" w:hAnsi="Times New Roman"/>
          <w:i/>
          <w:color w:val="000000"/>
          <w:sz w:val="20"/>
        </w:rPr>
        <w:t xml:space="preserve">ex vivo </w:t>
      </w:r>
      <w:r>
        <w:rPr>
          <w:rFonts w:ascii="Times New Roman" w:hAnsi="Times New Roman"/>
          <w:color w:val="000000"/>
          <w:sz w:val="20"/>
        </w:rPr>
        <w:t xml:space="preserve">programs and terminated the AvenCell Co/Co, effectively turning over control of the program to AvenCell. The Company’s obligations under the terminated agreement were completed in the second quarter of 2023. Since December 31, 2022, there have been no other material changes to the key terms of the AvenCell LCA and AvenCell Co/Co agreements.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Revenue Recognition – Collaboration Revenue. </w:t>
      </w:r>
      <w:r>
        <w:rPr>
          <w:rFonts w:ascii="Times New Roman" w:hAnsi="Times New Roman"/>
          <w:color w:val="000000"/>
          <w:sz w:val="20"/>
        </w:rPr>
        <w:t>The Company recognized $13.2 million, $22.8 million and $5.9</w:t>
      </w:r>
      <w:r>
        <w:rPr>
          <w:rFonts w:ascii="Times New Roman" w:hAnsi="Times New Roman"/>
          <w:color w:val="FF0000"/>
          <w:sz w:val="20"/>
        </w:rPr>
        <w:t xml:space="preserve"> </w:t>
      </w:r>
      <w:r>
        <w:rPr>
          <w:rFonts w:ascii="Times New Roman" w:hAnsi="Times New Roman"/>
          <w:color w:val="000000"/>
          <w:sz w:val="20"/>
        </w:rPr>
        <w:t xml:space="preserve">million in revenue related to the AvenCell LCA for the years ended December 31, 2023, 2022 and 2021, respectively, after eliminating $6.6 million, $11.4 million and $2.9 million in intra-entity profits during those respective periods, which will be deferred and recognized if and when AvenCell commercializes a product with the Company’s license or abandons the related project. Until such time, this revenue is indefinitely deferred and excluded from the results of operations of the Company. The Company also recognized $0.2 million and $0.3 million related to materials shipped in accordance with the AvenCell LCA in the years ended December 31, 2023 and 2022, respectively. The Company recognized $0.6 million and $2.0 million in contra-revenue in the years ended December 31, 2023 and 2022, respectively, related to the AvenCell Co/Co agreement. The Company recognized $0.2 million in revenues related to the AvenCell Co/Co agreement for the year ended December 31, 2021.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there was no remaining transaction price of the AvenCell LCA to be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$0.2 million in accounts receivable and no deferred revenue related to the AvenCell agreements as of December 31, 2023. As of December 31, 2022, the Company had $0.3 million in accounts receivable and deferred revenue of $19.9 million related to the AvenCell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SparingVision SAS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2021, the Company and SparingVision, a genomic medicine company developing vision saving treatments for ocular diseases, entered into a license and collaboration agreement (the “SparingVision LCA”) to develop novel genomic medicines utilizing CRISPR/Cas9 technology for the treatment of ocular diseases.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December 31, 2022, there have been no material changes to the key terms of the SparingVision LCA. For further information on the terms and conditions of these agreements, see the notes to the consolidated financial statements included in the Company’s Annual Report for the year ended December 31, 2022.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Revenue Recognition: Collaboration Revenue. </w:t>
      </w:r>
      <w:r>
        <w:rPr>
          <w:rFonts w:ascii="Times New Roman" w:hAnsi="Times New Roman"/>
          <w:color w:val="000000"/>
          <w:sz w:val="20"/>
        </w:rPr>
        <w:t xml:space="preserve">The Company recognized $1.8 million and $0.2 million in revenue related to the SparingVision LCA for the years ended December 31, 2023 and 2022, respectively. The Company did not recognize collaboration revenue in the year ended December 31, 2021 related to the SparingVision LCA. As of December 31, 2023 and 2022, the Company had $0.5 million and $0.1 million in accounts receivable, respectively, related to the SparingVision LCA. As of December 31, 2023 and 2022, the Company had deferred revenue of $13.9 million and $14.7 million related to the SparingVision LCA, respectively, which is expected to be recognized over a six to nine year period from the signing of the agreement.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Kyverna Therapeutics,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2021, the Company and Kyverna, a cell therapy company engineering a new class of therapies for autoimmune and inflammatory diseases, entered into a licensing and collaboration agreement (the “Kyverna LCA”), for the development of an allogeneic CD19 CAR-T cell therapy for the treatment of a variety of B cell-mediated autoimmune diseases.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December 31, 2022, there have been no material changes to the key terms of the Kyverna LCA. For further information on the terms and conditions of this agreement, see the notes to the consolidated financial statements included in the Company’s Annual Report for the year ended December 31, 2022.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Revenue Recognition: Collaboration Revenue. </w:t>
      </w:r>
      <w:r>
        <w:rPr>
          <w:rFonts w:ascii="Times New Roman" w:hAnsi="Times New Roman"/>
          <w:color w:val="000000"/>
          <w:sz w:val="20"/>
        </w:rPr>
        <w:t>The Company had recognized revenue from the Kyverna LCA in full as of March 31, 2023, including $0.4 million and $6.6 million in revenue for the years ended December 31, 2023 and 2022, respectively. The Company recognized approximately $0.1 million in revenue in the year ended December 31, 2023 related to materials shipped to Kyverna. The Company did not recognize any revenue for the year ended December 31, 2021 related to the Kyverna LCA. As of December 31, 2023, the Company had $0.1 million in accounts receivable related to the Kyverna LCA. As of December 31, 2022, the Company did not have accounts receivable related to the Kyverna LCA. As of December 31, 2023, the Company did not have deferred revenue related to the Kyverna LCA. As of December 31, 2022 the Company had deferred revenue of $0.4 million related to the Kyverna LCA.</w:t>
      </w:r>
    </w:p>
    <w:p>
      <w:pPr>
        <w:pStyle w:val="TextBody"/>
        <w:bidi w:val="0"/>
        <w:spacing w:before="240" w:after="283"/>
        <w:jc w:val="both"/>
        <w:rPr>
          <w:rFonts w:ascii="Times New Roman" w:hAnsi="Times New Roman"/>
          <w:sz w:val="20"/>
        </w:rPr>
      </w:pPr>
      <w:r>
        <w:rPr>
          <w:rFonts w:ascii="Times New Roman" w:hAnsi="Times New Roman"/>
          <w:b/>
          <w:i/>
          <w:color w:val="000000"/>
          <w:sz w:val="20"/>
        </w:rPr>
        <w:t>ONK Therapeutics, Ltd.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12, 2022 the Company entered into a license, collaboration and option agreement (the “ONK LCA”) with ONK, an innovative company dedicated to developing optimally engineered natural killer (“NK”) cell therapies to cure patients with cancer.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December 31, 2022, there have been no material changes to the key terms of the ONK LCA.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Revenue Recognition: Collaboration Revenue. </w:t>
      </w:r>
      <w:r>
        <w:rPr>
          <w:rFonts w:ascii="Times New Roman" w:hAnsi="Times New Roman"/>
          <w:color w:val="000000"/>
          <w:sz w:val="20"/>
        </w:rPr>
        <w:t xml:space="preserve">The Company recognized $0.2 million and $0.1 million in revenue for the years ended December 31, 2023 and 2022, respectively, related to materials shipped in accordance with the ONK LCA. As of December 31, 2023, the Company did not have accounts receivable related to the ONK LCA. As of December 31, 2022, the Company had $0.1 million in accounts receivable related to the ONK LCA.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Equity-Method Investment and Other Investments</w:t>
      </w:r>
    </w:p>
    <w:p>
      <w:pPr>
        <w:pStyle w:val="TextBody"/>
        <w:bidi w:val="0"/>
        <w:spacing w:before="120" w:after="283"/>
        <w:jc w:val="both"/>
        <w:rPr>
          <w:rFonts w:ascii="Times New Roman" w:hAnsi="Times New Roman"/>
          <w:sz w:val="20"/>
        </w:rPr>
      </w:pPr>
      <w:r>
        <w:rPr>
          <w:rFonts w:ascii="Times New Roman" w:hAnsi="Times New Roman"/>
          <w:b/>
          <w:i/>
          <w:color w:val="000000"/>
          <w:sz w:val="20"/>
        </w:rPr>
        <w:t>AvenCell Therapeutics, Inc.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2021, the Company, Cellex and BXLS established AvenCell, a joint venture and privately held company. In exchange for contributing an exclusive license to the joint venture, the Company entered into a Preferred Stock Purchase Agreement with AvenCell for a 33.33% equity interest in AvenCell at the time of the initial closing. Cellex and BXLS each equally owned the remaining 66.67% at that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significant influence over, but does not control, AvenCell through its noncontrolling representation on AvenCell’s Board of Directors and the Company’s equity interest in AvenCell. The Company has determined that the preferred stock it owns is in-substance common stock. The Company is not the primary beneficiary as it does not have the power to direct the activities of AvenCell that most significantly impact AvenCell’s economic performance. Accordingly, the Company does not consolidate the financial statements of AvenCell and accounts for its investment using the equity method of accounting.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the initial investment in AvenCell of $62.9 million in “Equity method investments” on its consolidated balance sheet. Due to the timing and availability of AvenCell’s financial information, the Company records its share of losses from AvenCell on a quarterly basis on a one-quarter lag. The Company evaluates material events occurring during the quarter lag to determine whether the effects of any such events should be disclosed in the financial statements. The Company’s share of AvenCell’s losses were $14.1 million, $14.3 million and $1.8 million for the years ended December 31, 2023, 2022 and 2021, respectively, and are reflected in its operating results and comprehensive loss. The Company eliminated intra-entity profit of $6.6 million, $11.4 million and $2.9 million for the years ended December 31, 2023, 2022 and 2021, respectively (see Note 9). The carrying value of the Company’s investment in AvenCell was $11.8 million and $32.5 million as of December 31, 2023 and 2022, respectively. In February 2024, AvenCell notified the Company that it is evaluating the valuation of its intangible assets for potential impairment which may result in the reduction of the Company’s equity method investment. AvenCell’s financial statements for the three months ended December 31, 2023, had not been finalized at the time the Company’s financial statements were issued. At December 31, 2023, the maximum exposure to loss is limited to the Company’s equity investment in the joint venture as adjusted for intra-entity profits that have been deferred to date.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SparingVision SAS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SparingVision LCA (see Note 9), the Company received 83,316 shares of Series A2 Preferred Stock (“Series A2”). Attached to each share of Series A2, the Company received three warrants for the right to purchase additional Series A2 shares at designated prices that are subject to certain vesting conditions (collectively referred to as the “SparingVision investments”). The Company accounts for the SparingVision investments using the measurement alternative as SparingVision is a private company and there is no readily observable transaction price. The Company recorded the initial investment in SparingVision of $14.8 million in “Investments and other assets” on its consolidated balance sheet. There have been no changes in the valuation of the investment in SparingVision as of December 31, 2023.</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Kyverna Therapeutics, Inc.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Kyverna LCA (see Note 9), the Company received 3,739,515 shares of Series B Preferred Stock with a fair value of $7.0 million. The Company separately made an additional investment in Kyverna, purchasing 1,602,649 shares of Series B Preferred Stock in exchange for $3.0 million in cash (collectively referred to as the “Kyverna investments”). As of December 31, 2023, the Company accounted for the Kyverna investments using the measurement alternative as Kyverna was a private company with no readily observable transaction price. The Company recorded the initial investment in Kyverna of $10.0 million in “Investments and other assets” on its condensed consolidated balance sheet. There have been no changes in the valuation of the investment in Kyverna as of December 31, 2023. In February 2024, Kyverna announced the completion of its IPO and its common stock began trading on the Nasdaq Global Select Market under the ticker symbol “KYTX”.</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Rewrite Acquisition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February 2022, the Company entered into an Agreement and Plan of Merger by and among the Company, Rewrite, RW Acquisition Corp. and Shareholder Representative Services, LLC as Securityholder representative (the “Rewrite Merger Agreement”). Under the Rewrite Merger Agreement, the Company paid Company Securityholders (as defined in the Rewrite Merger Agreement) (the “Rewrite Holders”) upfront consideration in an aggregate amount of $45.0 million, excluding customary purchase price adjustments and closing costs, payable in cash. Pursuant to the Rewrite Merger Agreement, the Company acquired all of the issued and outstanding shares of Rewrite. The Rewrite transaction resulted in the acquisition of certain know-how and IP assets related to Rewrite’s proprietary DNA writing technology. The Company’s management determined that the acquired assets do not meet the definition of a business pursuant to ASC 805, </w:t>
      </w:r>
      <w:r>
        <w:rPr>
          <w:rFonts w:ascii="Times New Roman" w:hAnsi="Times New Roman"/>
          <w:i/>
          <w:color w:val="000000"/>
          <w:sz w:val="20"/>
        </w:rPr>
        <w:t>Business Combinations</w:t>
      </w:r>
      <w:r>
        <w:rPr>
          <w:rFonts w:ascii="Times New Roman" w:hAnsi="Times New Roman"/>
          <w:color w:val="000000"/>
          <w:sz w:val="20"/>
        </w:rPr>
        <w:t>, as substantially all of the fair value of the acquired assets is concentrated into one identifiable asset, the DNA writing technology. As of the date of closing of the transactions contemplated by the Rewrite Merger Agreement (the “Rewrite Merger Agreement Date”), the asset acquired had no alternative future use and had not reached a stage of technological feasibility. As a result, all payment obligations were recorded as research and development expense in the condensed consolidated statements of operations and other comprehensive loss in the amount of $56.0 million. The total transaction price was allocated to the assets acquired and liabilities assumed on a relative fair value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Rewrite Holders are eligible to receive up to an additional $155.0 million, including $55.0 million upon the achievement of pre-specified research milestones and $100.0 million upon the achievement of a regulatory approval milestone, payable through a mixture of $130.0 million in cash and $25.0 million in a combination of cash and the Company’s common stock which would be valued using the volume-weighted average price of the Company’s Common Stock over the ten consecutive trading day period ending on and including the trading day that is two trading days immediately prior to the issuance of the consideration issued in connection with the applicable milestone. In September 2022, Rewrite merged into Intellia, with Intellia the surviving entity.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2023, the $25.0 million research milestone noted above was achieved and, in February 2023, the Company paid the Rewrite Holders $0.9 million in cash and issued 567,045 shares of Intellia common stock in order to fulfill its obligation under the Rewrite Merger Agreement. The cash obligation was recorded as research and development expense in the consolidated statement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other comprehensive loss in the first quarter of 2023. The Company had determined that the research milestone settled in the Company’s common stock would be classified as a contingent consideration liability under ASC 480 and, therefore, the Company initially recorded a liability for this milestone payment as of the Rewrite Merger Agreement Date at its original fair value of $10.5 million. The contingent consideration liability was remeasured at fair value each financial reporting period, with the resulting impact reflected in the Company’s consolidated statements of operations and other comprehensive loss, presented within other income (expense). The remaining milestones to be settled in cash would be recorded when the contingency is resolved and the consideration is paid or becomes payable.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transaction price on the Rewrite Merger Agreement Date was determined and allocated as follows (in thousands):</w:t>
      </w:r>
    </w:p>
    <w:tbl>
      <w:tblPr>
        <w:tblW w:w="4864" w:type="dxa"/>
        <w:jc w:val="left"/>
        <w:tblInd w:w="0" w:type="dxa"/>
        <w:tblLayout w:type="fixed"/>
        <w:tblCellMar>
          <w:top w:w="28" w:type="dxa"/>
          <w:left w:w="28" w:type="dxa"/>
          <w:bottom w:w="28" w:type="dxa"/>
          <w:right w:w="28" w:type="dxa"/>
        </w:tblCellMar>
      </w:tblPr>
      <w:tblGrid>
        <w:gridCol w:w="3766"/>
        <w:gridCol w:w="211"/>
        <w:gridCol w:w="676"/>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Transaction Price</w:t>
            </w:r>
          </w:p>
        </w:tc>
        <w:tc>
          <w:tcPr>
            <w:tcW w:w="88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Upfront cash consideration</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43,730</w:t>
            </w:r>
          </w:p>
        </w:tc>
        <w:tc>
          <w:tcPr>
            <w:tcW w:w="211" w:type="dxa"/>
            <w:tcBorders/>
            <w:shd w:fill="CFF0FC" w:val="cle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contingent consideration liabilities</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w:t>
            </w:r>
          </w:p>
        </w:tc>
        <w:tc>
          <w:tcPr>
            <w:tcW w:w="211" w:type="dxa"/>
            <w:tcBorders/>
            <w:shd w:fill="FFFFFF" w:val="cle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transaction price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Transaction Price Allocated</w:t>
            </w:r>
          </w:p>
        </w:tc>
        <w:tc>
          <w:tcPr>
            <w:tcW w:w="887"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55,990</w:t>
            </w:r>
          </w:p>
        </w:tc>
        <w:tc>
          <w:tcPr>
            <w:tcW w:w="211" w:type="dxa"/>
            <w:tcBorders/>
            <w:shd w:fill="FFFFFF" w:val="cle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acquired</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11" w:type="dxa"/>
            <w:tcBorders/>
            <w:shd w:fill="CFF0FC" w:val="cle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 acquired</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11" w:type="dxa"/>
            <w:tcBorders/>
            <w:shd w:fill="FFFFFF" w:val="cle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assumed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transaction price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12.</w:t>
      </w:r>
    </w:p>
    <w:p>
      <w:pPr>
        <w:pStyle w:val="TextBody"/>
        <w:bidi w:val="0"/>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Property Leases - Commenced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leases approximately 230,000 square feet of real estate, including laboratory and office space in Cambridge, Massachusetts, and the surrounding areas. The Company’s leases have remaining terms ranging from one to approximately nine years. Certain leases include options to renew, exercised at the Company’s sole discretion, with varying renewal terms that can extend the lease term for an additional three to five years. All of the Company’s leases qualify as operating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2023, the Company executed a sublease for approximately 13,000 square feet of space of laboratory and office space in Cambridge, Massachusetts for a term of approximately three years. The sublease agreement grants an option to renew the term for one additional year.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Property Leases – Not Yet Commenced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2022, the Company entered into an agreement to lease approximately 140,000 square feet of office, general laboratory and planned good manufacturing practice (“GMP”) manufacturing space at 840 Winter Street in Waltham, Massachusetts (the “840 Winter Lease”). The Company has committed to making at least $146.0 million in rental payments over a lease term of 144 months estimated to begin in the second half of 2024. The Company has the option to extend the 840 Winter Lease for two five-year terms.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June 2023, the Company executed an amendment to the 840 Winter Lease, which outlines the Company’s and the landlord’s responsibilities regarding the construction of the leased space. The Company will be responsible for the oversight of the construction of the tenant improvements, which will be primarily funded by a tenant improvement allowance of up to $400 per rentable square foot, a portion of which would be repaid over the term of the lease with interest. The Company will also be responsible for certain future construction costs to the extent that they exceed the tenant improvement allowance. The Company anticipates a phased move-in process during the second half of 2024. As of December 31, 2023, the Company had not taken control of the premises and therefore there are no right of use assets or liabilities recorded related to the 840 Winter Lease under ASC 842, </w:t>
      </w:r>
      <w:r>
        <w:rPr>
          <w:rFonts w:ascii="Times New Roman" w:hAnsi="Times New Roman"/>
          <w:i/>
          <w:color w:val="000000"/>
          <w:sz w:val="20"/>
        </w:rPr>
        <w:t xml:space="preserve">Leases (Topic 842) </w:t>
      </w:r>
      <w:r>
        <w:rPr>
          <w:rFonts w:ascii="Times New Roman" w:hAnsi="Times New Roman"/>
          <w:color w:val="000000"/>
          <w:sz w:val="20"/>
        </w:rPr>
        <w:t>(“ASC 842”).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Throughout the term of its leases, the Company is responsible for paying certain costs and expenses, in addition to the rent, as specified in the lease, including a proportionate share of applicable taxes, operating expenses and utilities. The variable portion of these costs are expensed as incurred and are disclosed as variable lease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contains a summary of the lease costs recognized under ASC 842 and other information pertaining to the Company’s operating leases:</w:t>
      </w:r>
    </w:p>
    <w:p>
      <w:pPr>
        <w:pStyle w:val="TextBody"/>
        <w:bidi w:val="0"/>
        <w:jc w:val="both"/>
        <w:rPr/>
      </w:pPr>
      <w:r>
        <w:rPr/>
        <w:t> </w:t>
      </w:r>
    </w:p>
    <w:tbl>
      <w:tblPr>
        <w:tblW w:w="8089" w:type="dxa"/>
        <w:jc w:val="left"/>
        <w:tblInd w:w="0" w:type="dxa"/>
        <w:tblLayout w:type="fixed"/>
        <w:tblCellMar>
          <w:top w:w="28" w:type="dxa"/>
          <w:left w:w="28" w:type="dxa"/>
          <w:bottom w:w="28" w:type="dxa"/>
          <w:right w:w="28" w:type="dxa"/>
        </w:tblCellMar>
      </w:tblPr>
      <w:tblGrid>
        <w:gridCol w:w="5566"/>
        <w:gridCol w:w="146"/>
        <w:gridCol w:w="211"/>
        <w:gridCol w:w="676"/>
        <w:gridCol w:w="166"/>
        <w:gridCol w:w="146"/>
        <w:gridCol w:w="211"/>
        <w:gridCol w:w="676"/>
        <w:gridCol w:w="2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55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5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5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used for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14,656</w:t>
            </w:r>
          </w:p>
        </w:tc>
        <w:tc>
          <w:tcPr>
            <w:tcW w:w="29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67,053</w:t>
            </w:r>
          </w:p>
        </w:tc>
        <w:tc>
          <w:tcPr>
            <w:tcW w:w="29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term and discount rate</w:t>
            </w:r>
          </w:p>
        </w:tc>
        <w:tc>
          <w:tcPr>
            <w:tcW w:w="146" w:type="dxa"/>
            <w:tcBorders/>
            <w:shd w:fill="CFF0FC" w:val="clear"/>
            <w:vAlign w:val="center"/>
          </w:tcPr>
          <w:p>
            <w:pPr>
              <w:pStyle w:val="TableContents"/>
              <w:bidi w:val="0"/>
              <w:spacing w:before="0" w:after="283"/>
              <w:jc w:val="left"/>
              <w:rPr/>
            </w:pPr>
            <w:r>
              <w:rPr/>
              <w:t> </w:t>
            </w:r>
          </w:p>
        </w:tc>
        <w:tc>
          <w:tcPr>
            <w:tcW w:w="2086" w:type="dxa"/>
            <w:gridSpan w:val="6"/>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years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 years</w:t>
            </w:r>
          </w:p>
        </w:tc>
        <w:tc>
          <w:tcPr>
            <w:tcW w:w="291" w:type="dxa"/>
            <w:tcBorders/>
            <w:shd w:fill="FFFFFF" w:val="cle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7.37%</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7.20%</w:t>
            </w:r>
          </w:p>
        </w:tc>
        <w:tc>
          <w:tcPr>
            <w:tcW w:w="291" w:type="dxa"/>
            <w:tcBorders/>
            <w:shd w:fill="CFF0FC" w:val="clear"/>
            <w:vAlign w:val="center"/>
          </w:tcPr>
          <w:p>
            <w:pPr>
              <w:pStyle w:val="TableContents"/>
              <w:bidi w:val="0"/>
              <w:spacing w:before="0" w:after="283"/>
              <w:jc w:val="center"/>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reconciles the undiscounted cash flows for each of the next five years and total of the remaining years to the operating lease liabilities recorded in the consolidated balance sheet as of December 31, 2023:</w:t>
      </w:r>
    </w:p>
    <w:p>
      <w:pPr>
        <w:pStyle w:val="TextBody"/>
        <w:bidi w:val="0"/>
        <w:jc w:val="both"/>
        <w:rPr/>
      </w:pPr>
      <w:r>
        <w:rPr/>
        <w:t> </w:t>
      </w:r>
    </w:p>
    <w:tbl>
      <w:tblPr>
        <w:tblW w:w="5953" w:type="dxa"/>
        <w:jc w:val="left"/>
        <w:tblInd w:w="0" w:type="dxa"/>
        <w:tblLayout w:type="fixed"/>
        <w:tblCellMar>
          <w:top w:w="28" w:type="dxa"/>
          <w:left w:w="28" w:type="dxa"/>
          <w:bottom w:w="28" w:type="dxa"/>
          <w:right w:w="28" w:type="dxa"/>
        </w:tblCellMar>
      </w:tblPr>
      <w:tblGrid>
        <w:gridCol w:w="4471"/>
        <w:gridCol w:w="146"/>
        <w:gridCol w:w="239"/>
        <w:gridCol w:w="886"/>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4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Operating 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26,395</w:t>
            </w:r>
          </w:p>
        </w:tc>
        <w:tc>
          <w:tcPr>
            <w:tcW w:w="211"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25,933</w:t>
            </w:r>
          </w:p>
        </w:tc>
        <w:tc>
          <w:tcPr>
            <w:tcW w:w="211"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25,110</w:t>
            </w:r>
          </w:p>
        </w:tc>
        <w:tc>
          <w:tcPr>
            <w:tcW w:w="211"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17,548</w:t>
            </w:r>
          </w:p>
        </w:tc>
        <w:tc>
          <w:tcPr>
            <w:tcW w:w="211"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w:t>
            </w:r>
          </w:p>
        </w:tc>
        <w:tc>
          <w:tcPr>
            <w:tcW w:w="211"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146,546</w:t>
            </w:r>
          </w:p>
        </w:tc>
        <w:tc>
          <w:tcPr>
            <w:tcW w:w="211"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 at December 31, 2023</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w:t>
      </w:r>
    </w:p>
    <w:p>
      <w:pPr>
        <w:pStyle w:val="TextBody"/>
        <w:bidi w:val="0"/>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Stock-based compensation expense is classified in the consolidated statements of operations and comprehensive loss as follows: </w:t>
      </w:r>
    </w:p>
    <w:tbl>
      <w:tblPr>
        <w:tblW w:w="6198"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11"/>
        <w:gridCol w:w="676"/>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Amended and Restated 2015 Stock Option and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2016, the Company adopted the Amended and Restated 2015 Stock Option and Incentive Plan (the “2015 Plan”). The 2015 Plan provides for the grant of incentive stock options, non-qualified stock options, stock appreciation rights, restricted stock awards (“RSAs”), restricted stock units (“RSUs”) and other stock-based awards. Recipients of incentive stock options and non-qualified stock options are eligible to purchase shares of the Company’s common stock at an exercise price equal to the fair value of such stock on the grant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maintains a retirement policy for equity awards granted to all employees (the “Retirement Policy”), which applies to all equity awards granted after July 1, 2022 to employees who meet certain retirement eligibility criteria set forth in the Retirement Policy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“Retirees”). Pursuant to the terms of the Retirement Policy, upon a Retiree’s eligible retirement: (i) all stock options held by the Retiree will continue to vest following the Retiree’s retirement date according to the original vesting schedule of the option until fully vested and all vested stock options held by such Retiree will remain exercisable until the earlier of the five-year anniversary of the Retiree’s retirement date or the original expiration date of the option, (ii) all unvested time-based RSUs held by the Retiree will vest in full on the Retiree’s retirement date and (iii) all unvested performance-based awards held by the Retiree will remain outstanding following the Retiree’s retirement date and the Retiree will remain eligible to earn a pro-rated portion of such performance-based awards at the end of the performance period based on actual performance during the performance period.</w:t>
      </w:r>
    </w:p>
    <w:p>
      <w:pPr>
        <w:pStyle w:val="TextBody"/>
        <w:bidi w:val="0"/>
        <w:spacing w:before="240" w:after="283"/>
        <w:jc w:val="both"/>
        <w:rPr>
          <w:rFonts w:ascii="Times New Roman" w:hAnsi="Times New Roman"/>
          <w:sz w:val="20"/>
        </w:rPr>
      </w:pPr>
      <w:r>
        <w:rPr>
          <w:rFonts w:ascii="Times New Roman" w:hAnsi="Times New Roman"/>
          <w:color w:val="000000"/>
          <w:sz w:val="20"/>
        </w:rPr>
        <w:t>As of December 31, 2023, there were 3,875,539 shares available for future issuance under the 2015 Plan. The number of shares reserved for issuance under the 2015 Plan will be cumulatively increased on each January 1</w:t>
      </w:r>
      <w:r>
        <w:rPr>
          <w:rFonts w:ascii="Times New Roman" w:hAnsi="Times New Roman"/>
          <w:color w:val="000000"/>
          <w:sz w:val="13"/>
        </w:rPr>
        <w:t>st</w:t>
      </w:r>
      <w:r>
        <w:rPr>
          <w:rFonts w:ascii="Times New Roman" w:hAnsi="Times New Roman"/>
          <w:color w:val="000000"/>
          <w:sz w:val="20"/>
        </w:rPr>
        <w:t xml:space="preserve"> by four percent of the number of shares of stock issued and outstanding on the immediately preceding December 31</w:t>
      </w:r>
      <w:r>
        <w:rPr>
          <w:rFonts w:ascii="Times New Roman" w:hAnsi="Times New Roman"/>
          <w:color w:val="000000"/>
          <w:sz w:val="13"/>
        </w:rPr>
        <w:t>st</w:t>
      </w:r>
      <w:r>
        <w:rPr>
          <w:rFonts w:ascii="Times New Roman" w:hAnsi="Times New Roman"/>
          <w:color w:val="000000"/>
          <w:sz w:val="20"/>
        </w:rPr>
        <w:t xml:space="preserve"> or such lesser number of shares of stock as determined by the board of directors.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Company’s RSU activity for the year ended December 31, 2023: </w:t>
      </w:r>
    </w:p>
    <w:tbl>
      <w:tblPr>
        <w:tblW w:w="7852" w:type="dxa"/>
        <w:jc w:val="left"/>
        <w:tblInd w:w="0" w:type="dxa"/>
        <w:tblLayout w:type="fixed"/>
        <w:tblCellMar>
          <w:top w:w="28" w:type="dxa"/>
          <w:left w:w="28" w:type="dxa"/>
          <w:bottom w:w="28" w:type="dxa"/>
          <w:right w:w="28" w:type="dxa"/>
        </w:tblCellMar>
      </w:tblPr>
      <w:tblGrid>
        <w:gridCol w:w="4651"/>
        <w:gridCol w:w="146"/>
        <w:gridCol w:w="146"/>
        <w:gridCol w:w="931"/>
        <w:gridCol w:w="166"/>
        <w:gridCol w:w="146"/>
        <w:gridCol w:w="343"/>
        <w:gridCol w:w="932"/>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3,047,544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2023, the Company granted 2,195,135 RSUs with a service condition to employees as part of their annual grant, which have the potential to vest over a period of three years. The weighted average grant date fair value of these RSUs was $40.75 and the vesting start date for these RSUs was January 1, 2023. </w:t>
      </w:r>
    </w:p>
    <w:p>
      <w:pPr>
        <w:pStyle w:val="TextBody"/>
        <w:bidi w:val="0"/>
        <w:spacing w:before="240" w:after="283"/>
        <w:jc w:val="both"/>
        <w:rPr>
          <w:rFonts w:ascii="Times New Roman" w:hAnsi="Times New Roman"/>
          <w:sz w:val="20"/>
        </w:rPr>
      </w:pPr>
      <w:r>
        <w:rPr>
          <w:rFonts w:ascii="Times New Roman" w:hAnsi="Times New Roman"/>
          <w:color w:val="000000"/>
          <w:sz w:val="20"/>
        </w:rPr>
        <w:t>Also in March 2023, 181,743 market-based RSUs were granted to senior executives as part of their annual grant. These RSUs have the potential to vest after a period of three years, with a vesting start date of January 1, 2023, and the number of shares to be delivered will depend on the Company’s Total Shareholder Return (“TSR”), a market condition, over that period relative to a defined group of biotechnology companies. The grant date fair value for these RSUs, calculated using a Monte Carlo valuation model, was $68.55.</w:t>
      </w:r>
      <w:r>
        <w:rPr>
          <w:rFonts w:ascii="Times New Roman" w:hAnsi="Times New Roman"/>
          <w:color w:val="FF0000"/>
          <w:sz w:val="20"/>
        </w:rPr>
        <w:t xml:space="preserve"> </w:t>
      </w:r>
      <w:r>
        <w:rPr>
          <w:rFonts w:ascii="Times New Roman" w:hAnsi="Times New Roman"/>
          <w:color w:val="000000"/>
          <w:sz w:val="20"/>
        </w:rPr>
        <w:t>The following assumptions were used to determine the grant date fair value: risk free interest rate: 4.60%; expected dividend yield: 0.0%; expected volatility: 84.34%; expected term (in years): 2.84.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2022, the Company granted 794,424 RSUs with a service condition to employees as part of their annual grant, which have the potential to vest over a period of three years. The weighted average grant date fair value of these RSUs was $79.85 and the vesting start date for these RSUs was January 1, 2022. </w:t>
      </w:r>
    </w:p>
    <w:p>
      <w:pPr>
        <w:pStyle w:val="TextBody"/>
        <w:bidi w:val="0"/>
        <w:spacing w:before="240" w:after="283"/>
        <w:jc w:val="both"/>
        <w:rPr>
          <w:rFonts w:ascii="Times New Roman" w:hAnsi="Times New Roman"/>
          <w:sz w:val="20"/>
        </w:rPr>
      </w:pPr>
      <w:r>
        <w:rPr>
          <w:rFonts w:ascii="Times New Roman" w:hAnsi="Times New Roman"/>
          <w:color w:val="000000"/>
          <w:sz w:val="20"/>
        </w:rPr>
        <w:t>Also in March 2022, 55,144 RSUs were granted to senior executives as part of their annual grant. These RSUs have the potential to vest after a period of 3</w:t>
      </w:r>
      <w:r>
        <w:rPr>
          <w:rFonts w:ascii="Times New Roman" w:hAnsi="Times New Roman"/>
          <w:color w:val="FF0000"/>
          <w:sz w:val="20"/>
        </w:rPr>
        <w:t xml:space="preserve"> </w:t>
      </w:r>
      <w:r>
        <w:rPr>
          <w:rFonts w:ascii="Times New Roman" w:hAnsi="Times New Roman"/>
          <w:color w:val="000000"/>
          <w:sz w:val="20"/>
        </w:rPr>
        <w:t>years, with a vesting start date of January 1, 2022, and the number of shares to be delivered will depend on the Company’s TSR, a market condition, over that period relative to a defined group of biotechnology companies. The grant date fair value for these RSUs, calculated using a Monte Carlo valuation model, was $126.49.</w:t>
      </w:r>
      <w:r>
        <w:rPr>
          <w:rFonts w:ascii="Times New Roman" w:hAnsi="Times New Roman"/>
          <w:color w:val="FF0000"/>
          <w:sz w:val="20"/>
        </w:rPr>
        <w:t xml:space="preserve"> </w:t>
      </w:r>
      <w:r>
        <w:rPr>
          <w:rFonts w:ascii="Times New Roman" w:hAnsi="Times New Roman"/>
          <w:color w:val="000000"/>
          <w:sz w:val="20"/>
        </w:rPr>
        <w:t>The following assumptions were used to determine the grant date fair value: risk free interest rate: 1.44%; expected dividend yield: 0.0%; expected volatility: 82.53%; expected term (in years): 2.84.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granted 66,296 performance-based RSUs in March 2022 to certain non-executive employees that would vest upon obtaining certain scientific milestones. There were two separate tranches, each attached to a different set of milestones. The milestone related to the first tranche, made up of 21,878 RSUs, was achieved in the first quarter of 2023 and these RSUs vested. The remaining performance milestones were considered not probable of achievement as of December 31, 2023 and, therefore, no related stock-based compensation was recorded during the period then ending for those RSUs.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RSUs granted under the 2015 Plan in 2023 generally vest as to one-third on the first anniversary of the original vesting date, with the balance vesting annually over the remaining two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 date fair value of RSUs granted for the years ended December 31, 2023, 2022 and 2021 was $41.30, $70.90 and $73.81, respectively. The total fair value of RSUs vested (measured on the date of vesting) for the years ended December 31, 2023, 2022 and 2021 was $24.9 million, $10.4 million and $14.1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there was $125.2 million of unrecognized stock-based compensation expense related to RSUs that are expected to vest; these costs are expected to be recognized over a weighted average remaining vesting period of 1.7 years.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weighted average grant date fair value of options, estimated as of the grant date using the Black-Scholes option pricing model, was $28.92, $57.23 and $54.09 per option for options granted during the years ended December 31, 2023, 2022 and 2021,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Weighted average assumptions used to apply this pricing model were as follows:</w:t>
      </w:r>
    </w:p>
    <w:p>
      <w:pPr>
        <w:pStyle w:val="TextBody"/>
        <w:bidi w:val="0"/>
        <w:jc w:val="both"/>
        <w:rPr/>
      </w:pPr>
      <w:r>
        <w:rPr/>
        <w:t> </w:t>
      </w:r>
    </w:p>
    <w:tbl>
      <w:tblPr>
        <w:tblW w:w="7105" w:type="dxa"/>
        <w:jc w:val="left"/>
        <w:tblInd w:w="0" w:type="dxa"/>
        <w:tblLayout w:type="fixed"/>
        <w:tblCellMar>
          <w:top w:w="28" w:type="dxa"/>
          <w:left w:w="28" w:type="dxa"/>
          <w:bottom w:w="28" w:type="dxa"/>
          <w:right w:w="28" w:type="dxa"/>
        </w:tblCellMar>
      </w:tblPr>
      <w:tblGrid>
        <w:gridCol w:w="3331"/>
        <w:gridCol w:w="146"/>
        <w:gridCol w:w="197"/>
        <w:gridCol w:w="629"/>
        <w:gridCol w:w="271"/>
        <w:gridCol w:w="146"/>
        <w:gridCol w:w="197"/>
        <w:gridCol w:w="629"/>
        <w:gridCol w:w="271"/>
        <w:gridCol w:w="146"/>
        <w:gridCol w:w="197"/>
        <w:gridCol w:w="629"/>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316" w:type="dxa"/>
            <w:tcBorders/>
            <w:shd w:fill="FFFFFF" w:val="clear"/>
            <w:vAlign w:val="center"/>
          </w:tcPr>
          <w:p>
            <w:pPr>
              <w:pStyle w:val="TableContents"/>
              <w:bidi w:val="0"/>
              <w:spacing w:before="0" w:after="283"/>
              <w:jc w:val="righ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underlying stock</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is based on the U.S. Treasury yield curve in effect at the time of grant with maturities approximately equal to the option’s expected term.</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Expected Term. </w:t>
      </w:r>
      <w:r>
        <w:rPr>
          <w:rFonts w:ascii="Times New Roman" w:hAnsi="Times New Roman"/>
          <w:color w:val="000000"/>
          <w:sz w:val="20"/>
        </w:rPr>
        <w:t>The expected term represents the period that stock option awards are expected to be outstanding. For option grants that are considered to be “plain vanilla,” the Company determines the expected term using the simplified method. The simplified method deems the term to be the average of the time-to-vesting and the contractual life of the options. The Company uses the simplified method because it does not have sufficient historical option exercise data to provide a reasonable basis upon which to estimate the expected term.</w:t>
      </w:r>
    </w:p>
    <w:p>
      <w:pPr>
        <w:pStyle w:val="TextBody"/>
        <w:bidi w:val="0"/>
        <w:spacing w:before="12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Beginning in the first quarter of 2023, expected volatility is estimated based on actual movements in the Company’s stock price over the most recent historical periods, over the expected term of their stock option grants. Prior to 2023, the expected volatility was derived from a blend of the Company’s historical volatility and an average of the historical stock volatilities of several peer companies within the Company’s industry, both over a period equivalent to the expected term of the stock option grants.</w:t>
      </w:r>
    </w:p>
    <w:p>
      <w:pPr>
        <w:pStyle w:val="TextBody"/>
        <w:bidi w:val="0"/>
        <w:spacing w:before="12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expected dividend yield assumption is based on the fact that the Company has never paid cash dividends and has no present intention to pay cash 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granted under the 2015 Plan in 2023 generally vest as to one-third on the first anniversary of the original vesting date, with the balance vesting monthly over the remaining two years, unless they contain specific performance-based vesting provisions. The maximum term of stock options granted under the 2015 Plan is ten years.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uses the market closing price of its common stock as reported on the Nasdaq Global Select Market to determine the fair value of the shares of common stock underlying stock options.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is a summary of stock option activity for the year ended December 31, 2023:</w:t>
      </w:r>
    </w:p>
    <w:tbl>
      <w:tblPr>
        <w:tblW w:w="8378"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214"/>
        <w:gridCol w:w="582"/>
        <w:gridCol w:w="146"/>
        <w:gridCol w:w="146"/>
        <w:gridCol w:w="236"/>
        <w:gridCol w:w="755"/>
        <w:gridCol w:w="146"/>
        <w:gridCol w:w="146"/>
        <w:gridCol w:w="271"/>
        <w:gridCol w:w="869"/>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5,471,675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35,922</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34,790</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total intrinsic value (the amount by which the fair market value exceeded the exercise price) of stock options exercised during the years ended December 31, 2023, 2022 and 2021 was $7.6 million, $42.8 million, and $262.0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As of December 31, 2023, there was $56.1 million of unrecognized compensation cost related to stock options that have not yet vested; these costs are expected to be recognized over a weighted average remaining vesting period of 1.4</w:t>
      </w:r>
      <w:r>
        <w:rPr>
          <w:rFonts w:ascii="Times New Roman" w:hAnsi="Times New Roman"/>
          <w:color w:val="FF0000"/>
          <w:sz w:val="20"/>
        </w:rPr>
        <w:t xml:space="preserve"> </w:t>
      </w:r>
      <w:r>
        <w:rPr>
          <w:rFonts w:ascii="Times New Roman" w:hAnsi="Times New Roman"/>
          <w:color w:val="000000"/>
          <w:sz w:val="20"/>
        </w:rPr>
        <w:t>years.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2016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2016, the Company adopted the 2016 Employee Stock Purchase Plan (the “2016 Plan”). The 2016 Plan allows eligible employees to purchase shares of the Company’s common stock on the last day of each predetermined six-month offering period at 85% of the lower of the fair market value per share at the beginning or end of the applicable offering period. The 2016 Plan provides for six-month offering periods beginning in January and July of each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there were 1,077,487 shares available for future issuance under the 2016 Plan. The number of shares reserved for issuance under the 2016 Plan shall be cumulatively increased by the lesser of a) one percent of the number of shares of common stock issued and outstanding on the immediately preceding December 31, b) 500,000 shares of common stock, or c) such lesser number of shares of common stock as determined by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years ended December 31, 2023, 2022, and 2021, the Company issued 142,079, 77,618, and 30,897 shares of common stock under the 2016 Plan, respectively. The weighted-average purchase prices of shares issued under the 2016 Plan were $27.65, $34.15 and $65.51 per share for the years ended December 31, 2023, 2022, and 2021, respectively.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the awards issued under the 2016 Plan to employees was estimated at the beginning of the offering period using a Black-Scholes option-pricing model with the following assumptions:</w:t>
      </w:r>
    </w:p>
    <w:tbl>
      <w:tblPr>
        <w:tblW w:w="8377" w:type="dxa"/>
        <w:jc w:val="left"/>
        <w:tblInd w:w="0" w:type="dxa"/>
        <w:tblLayout w:type="fixed"/>
        <w:tblCellMar>
          <w:top w:w="28" w:type="dxa"/>
          <w:left w:w="28" w:type="dxa"/>
          <w:bottom w:w="28" w:type="dxa"/>
          <w:right w:w="28" w:type="dxa"/>
        </w:tblCellMar>
      </w:tblPr>
      <w:tblGrid>
        <w:gridCol w:w="3331"/>
        <w:gridCol w:w="146"/>
        <w:gridCol w:w="348"/>
        <w:gridCol w:w="867"/>
        <w:gridCol w:w="271"/>
        <w:gridCol w:w="146"/>
        <w:gridCol w:w="348"/>
        <w:gridCol w:w="867"/>
        <w:gridCol w:w="271"/>
        <w:gridCol w:w="146"/>
        <w:gridCol w:w="378"/>
        <w:gridCol w:w="942"/>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4.7%-5.53%</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0.22%-2.52%</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0.05%-0.09%</w:t>
            </w:r>
          </w:p>
        </w:tc>
        <w:tc>
          <w:tcPr>
            <w:tcW w:w="316" w:type="dxa"/>
            <w:tcBorders/>
            <w:shd w:fill="CFF0FC"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316" w:type="dxa"/>
            <w:tcBorders/>
            <w:shd w:fill="FFFFFF" w:val="clear"/>
            <w:vAlign w:val="center"/>
          </w:tcPr>
          <w:p>
            <w:pPr>
              <w:pStyle w:val="TableContents"/>
              <w:bidi w:val="0"/>
              <w:spacing w:before="0" w:after="283"/>
              <w:jc w:val="righ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underlying stock</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60.4%-69.2%</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63.6%-95.3%</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77.5%-109.2%</w:t>
            </w:r>
          </w:p>
        </w:tc>
        <w:tc>
          <w:tcPr>
            <w:tcW w:w="316" w:type="dxa"/>
            <w:tcBorders/>
            <w:shd w:fill="CFF0FC"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Loss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and diluted loss per share was calculated as follows:</w:t>
      </w:r>
    </w:p>
    <w:tbl>
      <w:tblPr>
        <w:tblW w:w="7798" w:type="dxa"/>
        <w:jc w:val="left"/>
        <w:tblInd w:w="0" w:type="dxa"/>
        <w:tblLayout w:type="fixed"/>
        <w:tblCellMar>
          <w:top w:w="28" w:type="dxa"/>
          <w:left w:w="28" w:type="dxa"/>
          <w:bottom w:w="28" w:type="dxa"/>
          <w:right w:w="28" w:type="dxa"/>
        </w:tblCellMar>
      </w:tblPr>
      <w:tblGrid>
        <w:gridCol w:w="3661"/>
        <w:gridCol w:w="146"/>
        <w:gridCol w:w="211"/>
        <w:gridCol w:w="841"/>
        <w:gridCol w:w="166"/>
        <w:gridCol w:w="146"/>
        <w:gridCol w:w="211"/>
        <w:gridCol w:w="841"/>
        <w:gridCol w:w="166"/>
        <w:gridCol w:w="146"/>
        <w:gridCol w:w="211"/>
        <w:gridCol w:w="841"/>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(267,892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w:t>
              <w:br/>
              <w:t>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common stock equivalents were excluded from the calculation of diluted loss per share because their inclusion would have been anti-dilutive:</w:t>
      </w:r>
    </w:p>
    <w:tbl>
      <w:tblPr>
        <w:tblW w:w="5683" w:type="dxa"/>
        <w:jc w:val="left"/>
        <w:tblInd w:w="0" w:type="dxa"/>
        <w:tblLayout w:type="fixed"/>
        <w:tblCellMar>
          <w:top w:w="28" w:type="dxa"/>
          <w:left w:w="28" w:type="dxa"/>
          <w:bottom w:w="28" w:type="dxa"/>
          <w:right w:w="28" w:type="dxa"/>
        </w:tblCellMar>
      </w:tblPr>
      <w:tblGrid>
        <w:gridCol w:w="2611"/>
        <w:gridCol w:w="146"/>
        <w:gridCol w:w="146"/>
        <w:gridCol w:w="571"/>
        <w:gridCol w:w="146"/>
        <w:gridCol w:w="146"/>
        <w:gridCol w:w="146"/>
        <w:gridCol w:w="571"/>
        <w:gridCol w:w="146"/>
        <w:gridCol w:w="146"/>
        <w:gridCol w:w="146"/>
        <w:gridCol w:w="571"/>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3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At-the-Market Offering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2019 Sale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2019, the Company entered into an Open Market Sale Agreement (the “2019 Sale Agreement”) with Jefferies LLC (“Jefferies”), under which Jefferies was able to offer and sell, from time to time in “at-the-market” offerings, common stock having aggregate gross proceeds of up to $150.0 million. The Company agreed to pay cash commissions of 3.0% of the gross proceeds of sales of common stock under the 2019 Sale Agreement. Under the 2019 Sale Agreement, the Company issued 3,778,889 shares of its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first quarter of 2022, the Company issued 579,788 shares of its common stock, in a series of sales, at an average price of $69.43 per share, in accordance with the 2019 Sale Agreement for aggregate net proceeds of $38.9 million, after payment of cash commissions and legal, accounting and other fees in connection with the sales. The 2019 Sale Agreement expired in the third quarter of 2022.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2022 Sale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2022, the Company entered into an Open Market Sale Agreement (the “2022 Sale Agreement”) with Jefferies, under which Jefferies is able to offer and sell, from time to time in “at-the-market” offerings, shares of the Company’s common stock having aggregate gross proceeds of up to $400.0 million. The Company agreed to pay cash commissions of 3.0% of the gross proceeds of sales of common stock under the 2022 Sale Agreement. Through December 31, 2023, the Company issued 7,518,163 shares of its common stock under the 2022 Sale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2023, the Company issued 4,122,824 shares of its common stock, in a series of sales, at an average price of $30.57 per share, in accordance with the 2022 Sale Agreement for aggregate net proceeds of $121.9 million, after payment of cash commissions and legal, accounting and other fees in connection with the sales.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2022, the Company issued 3,395,339 shares of its common stock, in a series of sales, at an average price of $57.43 per share, in accordance with the 2022 Sale Agreement for aggregate net proceeds of $189.0 million, after payment of cash commissions and legal, accounting and other fees in connection with the sales. As of December 31, 2023, $2.1 million of these proceeds are included in “Prepaid expenses and other current assets” on the Company’s consolidated balance sheet, representing offerings with trade dates in December 2023 that were settled in January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$79.0 million in shares of common stock remain eligible for sale under the 2022 Sale Agreement.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Follow-on Offerings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29, 2021, the Company entered into an underwriting agreement related to a public offering of 4,758,620 shares of its common stock, par value $0.0001 per share, including the exercise in full by the underwriters of their option to purchase an additional 620,689 shares at a public offering price of $145.00 per share. The offering closed on July 2, 2021 and the Company received net proceeds of $648.3 million, after deducting the underwriting discount, commissions and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2022, the Company entered into an underwriting agreement related to a public offering of 6,550,219 shares of its common stock, par value $0.0001 per share, at a public offering price of $45.80 per share. In addition, the Company granted the underwriter an option exercisable for 30 days from the date of the agreement to purchase, at the public offering price less any underwriting discounts and commissions, up to an additional 982,532 shares. The offering closed on December 2, 2022 and the Company received net proceeds of $337.9 million, including the exercise in full of the underwriters' option to purchase additional shares, after deducting the underwriting discount, commissions and offering expenses.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Approval of Additional Authorized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2023, the Company filed a Certificate of Amendment to the Company’s Second Amended and Restated Certificate of Incorporation to increase the number of authorized shares of common stock from 120,000,000 to 240,000,000. The increase in the number of authorized shares was approved by the holders of a majority of the outstanding shares of the Company’s common stock at its Annual Meeting of Stockholders held on June 14,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the Company may purchase materials or supplies from entities that are associated with a party that meets the criteria of a related party of the Company. These transactions are reviewed quarterly and to date have not been material to the Company’s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The Company and AvenCell are parties to the AvenCell LCA, as described in Note 9. The Company’s relationship with AvenCell is considered to be as a related party due to the Company’s 33.33% investment in AvenCell being accounted for under the equity method. The Company recognized $13.2 million, $22.8 million and $5.9</w:t>
      </w:r>
      <w:r>
        <w:rPr>
          <w:rFonts w:ascii="Times New Roman" w:hAnsi="Times New Roman"/>
          <w:color w:val="FF0000"/>
          <w:sz w:val="20"/>
        </w:rPr>
        <w:t xml:space="preserve"> </w:t>
      </w:r>
      <w:r>
        <w:rPr>
          <w:rFonts w:ascii="Times New Roman" w:hAnsi="Times New Roman"/>
          <w:color w:val="000000"/>
          <w:sz w:val="20"/>
        </w:rPr>
        <w:t xml:space="preserve">million in revenue related to the AvenCell LCA for the years ended December 31, 2023, 2022 and 2021, respectively, after eliminating $6.6 million, $11.4 million and $2.9 million in intra-entity profits during those respective periods. The elimination of intra-entity profits results in the deferral of revenue that will be recognized if and when AvenCell commercializes a product with the Company’s license or abandons the related project. Until such time, this revenue is indefinitely deferred and excluded from the results of operations of the Company. The Company also recognized $0.2 million and $0.3 million related to materials shipped in accordance with the AvenCell LCA in the years ended December 31, 2023 and 2022,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and AvenCell were also parties to the AvenCell Co/Co, under which the Company would co-develop and co-commercialize allogeneic universal CAR-T cell products for an immuno-oncology indication. This agreement was terminated by the Company, and all obligations under the terminated agreement were completed in the second quarter of 2023. The Company recognized $0.6 million and $2.0 million in contra-revenue in the years ended December 31, 2023 and 2022, respectively, related to the AvenCell Co/Co agreement. The Company recognized $0.2 million in revenues related to the AvenCell Co/Co agreement for the year ended December 31,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there was no remaining transaction price of the AvenCell LCA to be recognized.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401(k)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2015, the Company established the Intellia Therapeutics, Inc. 401(k) Plan (the “401(k) Plan”) for its employees, which is designed to be qualified under Section 401(k) of the Internal Revenue Code. Eligible employees are permitted to contribute to the 401(k) Plan within statutory and 401(k) Plan limits. The Company makes matching contributions of 50% of the first 6% of employee contributions. The Company made matching contributions of $3.3 million, $2.7 million and $1.6 million for the years ended December 31, 2023, 2022 and 2021,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Subsequent Event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15, 2024, the Company announced a strategic collaboration with ReCode Therapeutics, Inc. (“ReCode”), a clinical-stage genetic medicines company, to develop novel genomic medicines for the treatment of cystic fibrosis (“CF”). CF is a genetic disease caused by mutations in the </w:t>
      </w:r>
      <w:r>
        <w:rPr>
          <w:rFonts w:ascii="Times New Roman" w:hAnsi="Times New Roman"/>
          <w:i/>
          <w:color w:val="000000"/>
          <w:sz w:val="20"/>
        </w:rPr>
        <w:t>CFTR</w:t>
      </w:r>
      <w:r>
        <w:rPr>
          <w:rFonts w:ascii="Times New Roman" w:hAnsi="Times New Roman"/>
          <w:color w:val="000000"/>
          <w:sz w:val="20"/>
        </w:rPr>
        <w:t xml:space="preserve"> gene, leading to the accumulation of thick mucus in the lungs, digestive systems and other organs. CF can result in life-threatening infections, respiratory failure and other serious complications.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collaboration will leverage the Company’s proprietary CRISPR-based gene editing platform, including its DNA writing technology, and ReCode’s proprietary Selective Organ Targeting (“SORT”) lipid nanoparticle delivery platform to precisely correct one or more CF disease-causing gene mutations. As part of the agreement, the companies will focus initial research efforts on therapeutic approaches that address CF for patients who have limited or no treatment options available, with the opportunity to expand the scope of the collaboration in later phases. The Company will be responsible for the design of the editing strategy and research-grade components for the investigational therapies. ReCode will lead the subsequent preclinical and clinical development. ReCode will also lead worldwide commercialization for certain programs arising from the collaboration. The Company will be eligible to receive pre-specified development and commercial milestone payments, as well as royalties on potential sales. The Company may also exercise an option to lead commercialization in the U.S. for certain programs.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aps/>
          <w:color w:val="000000"/>
          <w:sz w:val="20"/>
        </w:rPr>
      </w:pPr>
      <w:bookmarkStart w:id="35" w:name="exhibit_index"/>
      <w:bookmarkEnd w:id="35"/>
      <w:r>
        <w:rPr>
          <w:rFonts w:ascii="Times New Roman" w:hAnsi="Times New Roman"/>
          <w:b/>
          <w:caps/>
          <w:color w:val="000000"/>
          <w:sz w:val="20"/>
        </w:rPr>
        <w:t>EXHIBIT INDEX</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926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5" w:type="dxa"/>
            <w:tcBorders/>
            <w:vAlign w:val="center"/>
          </w:tcPr>
          <w:p>
            <w:pPr>
              <w:pStyle w:val="TableContents"/>
              <w:bidi w:val="0"/>
              <w:spacing w:before="0" w:after="283"/>
              <w:jc w:val="left"/>
              <w:rPr>
                <w:sz w:val="4"/>
                <w:szCs w:val="4"/>
              </w:rPr>
            </w:pPr>
            <w:r>
              <w:rPr>
                <w:sz w:val="4"/>
                <w:szCs w:val="4"/>
              </w:rPr>
            </w:r>
          </w:p>
        </w:tc>
      </w:tr>
      <w:tr>
        <w:trPr/>
        <w:tc>
          <w:tcPr>
            <w:tcW w:w="79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Index</w:t>
            </w:r>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w:anchor="ntla-ex3_1.htm">
              <w:r>
                <w:rPr>
                  <w:rStyle w:val="InternetLink"/>
                  <w:rFonts w:ascii="Times New Roman" w:hAnsi="Times New Roman"/>
                  <w:color w:val="000000"/>
                  <w:sz w:val="20"/>
                </w:rPr>
                <w:t>Second Amended and Restated Certificate of Incorporation of the Registrant</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4">
              <w:r>
                <w:rPr>
                  <w:rStyle w:val="InternetLink"/>
                  <w:rFonts w:ascii="Times New Roman" w:hAnsi="Times New Roman"/>
                  <w:color w:val="000000"/>
                  <w:sz w:val="20"/>
                </w:rPr>
                <w:t>Second Amended and Restated By-laws of the Registrant (1)</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5">
              <w:r>
                <w:rPr>
                  <w:rStyle w:val="InternetLink"/>
                  <w:rFonts w:ascii="Times New Roman" w:hAnsi="Times New Roman"/>
                  <w:color w:val="000080"/>
                  <w:sz w:val="20"/>
                </w:rPr>
                <w:t>Description of Certain Registrant’s Securities</w:t>
              </w:r>
            </w:hyperlink>
            <w:r>
              <w:rPr>
                <w:rFonts w:ascii="Times New Roman" w:hAnsi="Times New Roman"/>
                <w:color w:val="000000"/>
                <w:sz w:val="20"/>
              </w:rPr>
              <w:t> (15)</w:t>
            </w:r>
          </w:p>
        </w:tc>
      </w:tr>
      <w:tr>
        <w:trPr/>
        <w:tc>
          <w:tcPr>
            <w:tcW w:w="79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6">
              <w:r>
                <w:rPr>
                  <w:rStyle w:val="InternetLink"/>
                  <w:rFonts w:ascii="Times New Roman" w:hAnsi="Times New Roman"/>
                  <w:color w:val="000000"/>
                  <w:sz w:val="20"/>
                </w:rPr>
                <w:t>2015 Amended and Restated Stock Option and Incentive Plan and forms of award agreements thereunder (3)</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7">
              <w:r>
                <w:rPr>
                  <w:rStyle w:val="InternetLink"/>
                  <w:rFonts w:ascii="Times New Roman" w:hAnsi="Times New Roman"/>
                  <w:color w:val="000000"/>
                  <w:sz w:val="20"/>
                </w:rPr>
                <w:t>Senior Executive Cash Incentive Bonus Plan (5)</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8">
              <w:r>
                <w:rPr>
                  <w:rStyle w:val="InternetLink"/>
                  <w:rFonts w:ascii="Times New Roman" w:hAnsi="Times New Roman"/>
                  <w:color w:val="000000"/>
                  <w:sz w:val="20"/>
                </w:rPr>
                <w:t>License Agreement dated as of July 16, 2014 by and between the Registrant (as successor in interest of Intellia Therapeutics, LLC) and Caribou Biosciences, Inc. (4)</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9">
              <w:r>
                <w:rPr>
                  <w:rStyle w:val="InternetLink"/>
                  <w:rFonts w:ascii="Times New Roman" w:hAnsi="Times New Roman"/>
                  <w:color w:val="000000"/>
                  <w:sz w:val="20"/>
                </w:rPr>
                <w:t>Services Agreement dated as of July 16, 2014 by and between the Registrant (as successor in interest of Intellia Therapeutics, LLC) and Caribou Biosciences, Inc. (4)</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0">
              <w:r>
                <w:rPr>
                  <w:rStyle w:val="InternetLink"/>
                  <w:rFonts w:ascii="Times New Roman" w:hAnsi="Times New Roman"/>
                  <w:color w:val="000000"/>
                  <w:sz w:val="20"/>
                </w:rPr>
                <w:t>Form of Indemnification Agreement (3)</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1">
              <w:r>
                <w:rPr>
                  <w:rStyle w:val="InternetLink"/>
                  <w:rFonts w:ascii="Times New Roman" w:hAnsi="Times New Roman"/>
                  <w:color w:val="000000"/>
                  <w:sz w:val="20"/>
                </w:rPr>
                <w:t>Lease Agreement, by and between the Registrant and MIT 130 Brookline LLC, dated as of October 21, 2014 (5)</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2">
              <w:r>
                <w:rPr>
                  <w:rStyle w:val="InternetLink"/>
                  <w:rFonts w:ascii="Times New Roman" w:hAnsi="Times New Roman"/>
                  <w:color w:val="000000"/>
                  <w:sz w:val="20"/>
                </w:rPr>
                <w:t>Lease Agreement, by and between the Registrant and BMR-Sidney Research Campus LLC, dated as of January 6, 2016 (5)</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3">
              <w:r>
                <w:rPr>
                  <w:rStyle w:val="InternetLink"/>
                  <w:rFonts w:ascii="Times New Roman" w:hAnsi="Times New Roman"/>
                  <w:color w:val="000000"/>
                  <w:sz w:val="20"/>
                </w:rPr>
                <w:t>2016 Employee Stock Purchase Plan (3)</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4">
              <w:r>
                <w:rPr>
                  <w:rStyle w:val="InternetLink"/>
                  <w:rFonts w:ascii="Times New Roman" w:hAnsi="Times New Roman"/>
                  <w:color w:val="000000"/>
                  <w:sz w:val="20"/>
                </w:rPr>
                <w:t>Amendment No. 1 to License Agreement dated as of February 2, 2016 by and between the Registrant and Caribou Biosciences, Inc. (5)</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5">
              <w:r>
                <w:rPr>
                  <w:rStyle w:val="InternetLink"/>
                  <w:rFonts w:ascii="Times New Roman" w:hAnsi="Times New Roman"/>
                  <w:color w:val="000000"/>
                  <w:sz w:val="20"/>
                </w:rPr>
                <w:t>Addendum to License Agreement dated as of February 2, 2016 by and between the Registrant and Caribou Biosciences, Inc. (5)</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6">
              <w:r>
                <w:rPr>
                  <w:rStyle w:val="InternetLink"/>
                  <w:rFonts w:ascii="Times New Roman" w:hAnsi="Times New Roman"/>
                  <w:color w:val="000000"/>
                  <w:sz w:val="20"/>
                </w:rPr>
                <w:t>License and Collaboration Agreement dated as of April 11, 2016 by and between the Registrant and Regeneron Pharmaceuticals, Inc. (2)</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7">
              <w:r>
                <w:rPr>
                  <w:rStyle w:val="InternetLink"/>
                  <w:rFonts w:ascii="Times New Roman" w:hAnsi="Times New Roman"/>
                  <w:color w:val="000000"/>
                  <w:sz w:val="20"/>
                </w:rPr>
                <w:t>Common Stock Purchase Agreement dated as of April 26, 2016 between the Registrant and Regeneron Pharmaceuticals, Inc. (3)</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8">
              <w:r>
                <w:rPr>
                  <w:rStyle w:val="InternetLink"/>
                  <w:rFonts w:ascii="Times New Roman" w:hAnsi="Times New Roman"/>
                  <w:color w:val="000000"/>
                  <w:sz w:val="20"/>
                </w:rPr>
                <w:t>Form of Employment Agreement for Executive Officers (3)</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19">
              <w:r>
                <w:rPr>
                  <w:rStyle w:val="InternetLink"/>
                  <w:rFonts w:ascii="Times New Roman" w:hAnsi="Times New Roman"/>
                  <w:color w:val="000080"/>
                  <w:sz w:val="20"/>
                </w:rPr>
                <w:t>Consent to Assignments, Licensing and Common Ownership and Invention Management Agreement dated December 15, 2016 by and between the Registrant, CRISPR Therapeutics AG, The Regents of the University of California, University of Vienna, ERS Genomics Ltd., TRACR Hematology Ltd., Caribou Biosciences, Inc., and Dr. Emmanuelle Charpentier</w:t>
              </w:r>
            </w:hyperlink>
            <w:r>
              <w:rPr>
                <w:rFonts w:ascii="Times New Roman" w:hAnsi="Times New Roman"/>
                <w:color w:val="000000"/>
                <w:sz w:val="20"/>
              </w:rPr>
              <w:t> (17)</w:t>
            </w:r>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20">
              <w:r>
                <w:rPr>
                  <w:rStyle w:val="InternetLink"/>
                  <w:rFonts w:ascii="Times New Roman" w:hAnsi="Times New Roman"/>
                  <w:color w:val="000000"/>
                  <w:sz w:val="20"/>
                </w:rPr>
                <w:t>Form of Amended and Restated Employment Agreement (7)</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21">
              <w:r>
                <w:rPr>
                  <w:rStyle w:val="InternetLink"/>
                  <w:rFonts w:ascii="Times New Roman" w:hAnsi="Times New Roman"/>
                  <w:color w:val="000000"/>
                  <w:sz w:val="20"/>
                </w:rPr>
                <w:t>Letter Agreement, dated as of July 20, 2018, by and between the Company and Regeneron Pharmaceuticals, Inc. and the corresponding Form of Co-Development and Co-Promotion Agreement, by and between the Company and Regeneron Pharmaceuticals, Inc. (8)</w:t>
              </w:r>
            </w:hyperlink>
          </w:p>
        </w:tc>
      </w:tr>
      <w:tr>
        <w:trPr/>
        <w:tc>
          <w:tcPr>
            <w:tcW w:w="79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22">
              <w:r>
                <w:rPr>
                  <w:rStyle w:val="InternetLink"/>
                  <w:rFonts w:ascii="Times New Roman" w:hAnsi="Times New Roman"/>
                  <w:color w:val="000000"/>
                  <w:sz w:val="20"/>
                </w:rPr>
                <w:t>First Amendment to Lease, dated as of April 5, 2019, by and between the Company and MIT 130 Brookline Leasehold LLC. (10)</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23">
              <w:r>
                <w:rPr>
                  <w:rStyle w:val="InternetLink"/>
                  <w:rFonts w:ascii="Times New Roman" w:hAnsi="Times New Roman"/>
                  <w:color w:val="000000"/>
                  <w:sz w:val="20"/>
                </w:rPr>
                <w:t>Fifth Amended and Restated Non-Employee Director Compensation Policy (4)</w:t>
              </w:r>
            </w:hyperlink>
          </w:p>
        </w:tc>
      </w:tr>
      <w:tr>
        <w:trPr/>
        <w:tc>
          <w:tcPr>
            <w:tcW w:w="7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24">
              <w:r>
                <w:rPr>
                  <w:rStyle w:val="InternetLink"/>
                  <w:rFonts w:ascii="Times New Roman" w:hAnsi="Times New Roman"/>
                  <w:color w:val="000000"/>
                  <w:sz w:val="20"/>
                </w:rPr>
                <w:t>Lease Agreement, by and between the Registrant and 281-295 Albany Street Leasehold LLC, dated as of March 12, 2020 (12)</w:t>
              </w:r>
            </w:hyperlink>
          </w:p>
        </w:tc>
      </w:tr>
      <w:tr>
        <w:trPr/>
        <w:tc>
          <w:tcPr>
            <w:tcW w:w="79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25">
              <w:r>
                <w:rPr>
                  <w:rStyle w:val="InternetLink"/>
                  <w:rFonts w:ascii="Times New Roman" w:hAnsi="Times New Roman"/>
                  <w:color w:val="000000"/>
                  <w:sz w:val="20"/>
                </w:rPr>
                <w:t>Second Amendment to Lease, dated as of March 12, 2020, by and between the Company and MIT 130 Brookline Leasehold LLC. (12)</w:t>
              </w:r>
            </w:hyperlink>
          </w:p>
        </w:tc>
      </w:tr>
      <w:tr>
        <w:trPr/>
        <w:tc>
          <w:tcPr>
            <w:tcW w:w="79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79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hyperlink r:id="rId26">
              <w:r>
                <w:rPr>
                  <w:rStyle w:val="InternetLink"/>
                  <w:rFonts w:ascii="Times New Roman" w:hAnsi="Times New Roman"/>
                  <w:color w:val="000000"/>
                  <w:sz w:val="20"/>
                </w:rPr>
                <w:t>Amendment No. 1 to the License and Collaboration Agreement, dated as of May 30, 2020 by and between the Company and Regeneron Pharmaceuticals, Inc. (13)</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
        <w:gridCol w:w="146"/>
        <w:gridCol w:w="9334"/>
      </w:tblGrid>
      <w:tr>
        <w:trPr/>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4"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r:id="rId27">
              <w:r>
                <w:rPr>
                  <w:rStyle w:val="InternetLink"/>
                  <w:rFonts w:ascii="Times New Roman" w:hAnsi="Times New Roman"/>
                  <w:color w:val="000080"/>
                  <w:sz w:val="20"/>
                </w:rPr>
                <w:t>Stock Purchase Agreement, dated as of May 30, 2020 by and between the Company and Regeneron Pharmaceuticals, Inc. (13)</w:t>
              </w:r>
            </w:hyperlink>
            <w:r>
              <w:rPr>
                <w:rFonts w:ascii="Times New Roman" w:hAnsi="Times New Roman"/>
                <w:color w:val="000000"/>
                <w:sz w:val="20"/>
              </w:rPr>
              <w:t xml:space="preserve"> </w:t>
            </w:r>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ntla-ex10_23.htm">
              <w:r>
                <w:rPr>
                  <w:rStyle w:val="InternetLink"/>
                  <w:rFonts w:ascii="Times New Roman" w:hAnsi="Times New Roman"/>
                  <w:color w:val="000000"/>
                  <w:sz w:val="20"/>
                </w:rPr>
                <w:t>Second Amended and Restated Corporate Bonus Plan, effective November 30, 2023</w:t>
              </w:r>
            </w:hyperlink>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r:id="rId28">
              <w:r>
                <w:rPr>
                  <w:rStyle w:val="InternetLink"/>
                  <w:rFonts w:ascii="Times New Roman" w:hAnsi="Times New Roman"/>
                  <w:color w:val="000080"/>
                  <w:sz w:val="20"/>
                </w:rPr>
                <w:t>Agreement and Plan of Merger, by and among Intellia Therapeutics, Inc., Rewrite Therapeutics, Inc., RW Acquisition Corp., and Shareholder Representative Services, LLC, as securityholder representative, dated as of February 2, 2022</w:t>
              </w:r>
            </w:hyperlink>
            <w:r>
              <w:rPr>
                <w:rFonts w:ascii="Times New Roman" w:hAnsi="Times New Roman"/>
                <w:color w:val="000000"/>
                <w:sz w:val="20"/>
              </w:rPr>
              <w:t> (17)</w:t>
            </w:r>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r:id="rId29">
              <w:r>
                <w:rPr>
                  <w:rStyle w:val="InternetLink"/>
                  <w:rFonts w:ascii="Times New Roman" w:hAnsi="Times New Roman"/>
                  <w:color w:val="000080"/>
                  <w:sz w:val="20"/>
                </w:rPr>
                <w:t>Lease Agreement by and between the Registrant and Are-Winter Street Property, LLC, dated as of February 22, 2022</w:t>
              </w:r>
            </w:hyperlink>
            <w:r>
              <w:rPr>
                <w:rFonts w:ascii="Times New Roman" w:hAnsi="Times New Roman"/>
                <w:color w:val="000000"/>
                <w:sz w:val="20"/>
              </w:rPr>
              <w:t> (17)</w:t>
            </w:r>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r:id="rId30">
              <w:r>
                <w:rPr>
                  <w:rStyle w:val="InternetLink"/>
                  <w:rFonts w:ascii="Times New Roman" w:hAnsi="Times New Roman"/>
                  <w:color w:val="000080"/>
                  <w:sz w:val="20"/>
                </w:rPr>
                <w:t>Amended and Restated Retirement Policy for Equity Awards, effective December 6, 2022</w:t>
              </w:r>
            </w:hyperlink>
            <w:r>
              <w:rPr>
                <w:rFonts w:ascii="Times New Roman" w:hAnsi="Times New Roman"/>
                <w:color w:val="000000"/>
                <w:sz w:val="20"/>
              </w:rPr>
              <w:t> (11)</w:t>
            </w:r>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r:id="rId31">
              <w:r>
                <w:rPr>
                  <w:rStyle w:val="InternetLink"/>
                  <w:rFonts w:ascii="Times New Roman" w:hAnsi="Times New Roman"/>
                  <w:color w:val="000080"/>
                  <w:sz w:val="20"/>
                </w:rPr>
                <w:t>Amendment to Lease Agreement by and between the Registrant and Are-Winter Street Property, LLC, dated as of June 20, 2023</w:t>
              </w:r>
            </w:hyperlink>
            <w:r>
              <w:rPr>
                <w:rFonts w:ascii="Times New Roman" w:hAnsi="Times New Roman"/>
                <w:color w:val="000000"/>
                <w:sz w:val="20"/>
              </w:rPr>
              <w:t> (14)</w:t>
            </w:r>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r:id="rId32">
              <w:r>
                <w:rPr>
                  <w:rStyle w:val="InternetLink"/>
                  <w:rFonts w:ascii="Times New Roman" w:hAnsi="Times New Roman"/>
                  <w:color w:val="000080"/>
                  <w:sz w:val="20"/>
                </w:rPr>
                <w:t>Letter Agreement (Second Amendment) to License and Collaboration Agreement by and between Registrant and Regeneron Pharmaceuticals, Inc., dated November 22, 2022</w:t>
              </w:r>
            </w:hyperlink>
            <w:r>
              <w:rPr>
                <w:rFonts w:ascii="Times New Roman" w:hAnsi="Times New Roman"/>
                <w:color w:val="000000"/>
                <w:sz w:val="20"/>
              </w:rPr>
              <w:t>. (18)</w:t>
            </w:r>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r:id="rId33">
              <w:r>
                <w:rPr>
                  <w:rStyle w:val="InternetLink"/>
                  <w:rFonts w:ascii="Times New Roman" w:hAnsi="Times New Roman"/>
                  <w:color w:val="000080"/>
                  <w:sz w:val="20"/>
                </w:rPr>
                <w:t>Third Amendment to License and Collaboration Agreement by and between Registrant and Regeneron Pharmaceuticals, Inc., dated September 29, 2023</w:t>
              </w:r>
            </w:hyperlink>
            <w:r>
              <w:rPr>
                <w:rFonts w:ascii="Times New Roman" w:hAnsi="Times New Roman"/>
                <w:color w:val="000000"/>
                <w:sz w:val="20"/>
              </w:rPr>
              <w:t>. (18)</w:t>
            </w:r>
          </w:p>
        </w:tc>
      </w:tr>
      <w:tr>
        <w:trPr/>
        <w:tc>
          <w:tcPr>
            <w:tcW w:w="7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ntla-ex21_1.htm">
              <w:r>
                <w:rPr>
                  <w:rStyle w:val="InternetLink"/>
                  <w:rFonts w:ascii="Times New Roman" w:hAnsi="Times New Roman"/>
                  <w:color w:val="000000"/>
                  <w:sz w:val="20"/>
                </w:rPr>
                <w:t>Subsidiaries of the Registrant</w:t>
              </w:r>
            </w:hyperlink>
          </w:p>
        </w:tc>
      </w:tr>
      <w:tr>
        <w:trPr/>
        <w:tc>
          <w:tcPr>
            <w:tcW w:w="7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ntla-ex23_1.htm">
              <w:r>
                <w:rPr>
                  <w:rStyle w:val="InternetLink"/>
                  <w:rFonts w:ascii="Times New Roman" w:hAnsi="Times New Roman"/>
                  <w:color w:val="000000"/>
                  <w:sz w:val="20"/>
                </w:rPr>
                <w:t>Consent of Deloitte &amp; Touche LLP, Independent Registered Public Accounting Firm</w:t>
              </w:r>
            </w:hyperlink>
          </w:p>
        </w:tc>
      </w:tr>
      <w:tr>
        <w:trPr/>
        <w:tc>
          <w:tcPr>
            <w:tcW w:w="7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ntla-ex31_1.htm">
              <w:r>
                <w:rPr>
                  <w:rStyle w:val="InternetLink"/>
                  <w:rFonts w:ascii="Times New Roman" w:hAnsi="Times New Roman"/>
                  <w:color w:val="000000"/>
                  <w:sz w:val="20"/>
                </w:rPr>
                <w:t>Certification of Chief Executive Officer pursuant to Rules 13a-14(a) or 15d-14(a) of the Securities Exchange Act of 1934, as adopted pursuant to Section 302 of the Sarbanes-Oxley Act of 2002</w:t>
              </w:r>
            </w:hyperlink>
          </w:p>
        </w:tc>
      </w:tr>
      <w:tr>
        <w:trPr/>
        <w:tc>
          <w:tcPr>
            <w:tcW w:w="7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ntla-ex31_2.htm">
              <w:r>
                <w:rPr>
                  <w:rStyle w:val="InternetLink"/>
                  <w:rFonts w:ascii="Times New Roman" w:hAnsi="Times New Roman"/>
                  <w:color w:val="000000"/>
                  <w:sz w:val="20"/>
                </w:rPr>
                <w:t>Certification of Chief Financial Officer pursuant to Rules 13a-14(a) or 15d-14(a) of the Securities Exchange Act of 1934, as adopted pursuant to Section 302 of the Sarbanes-Oxley Act of 2002</w:t>
              </w:r>
            </w:hyperlink>
          </w:p>
        </w:tc>
      </w:tr>
      <w:tr>
        <w:trPr/>
        <w:tc>
          <w:tcPr>
            <w:tcW w:w="7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ntla-ex32_1.htm">
              <w:r>
                <w:rPr>
                  <w:rStyle w:val="InternetLink"/>
                  <w:rFonts w:ascii="Times New Roman" w:hAnsi="Times New Roman"/>
                  <w:color w:val="000000"/>
                  <w:sz w:val="20"/>
                </w:rPr>
                <w:t>Certifications pursuant to 18 U.S.C. Section 1350, as adopted pursuant to Section 906 of The Sarbanes-Oxley Act of 2002, by John M. Leonard, M.D., President and Chief Executive Officer of the Company, and Glenn Goddard, Executive Vice President, Chief Financial Officer of the Company (19)</w:t>
              </w:r>
            </w:hyperlink>
          </w:p>
        </w:tc>
      </w:tr>
      <w:tr>
        <w:trPr/>
        <w:tc>
          <w:tcPr>
            <w:tcW w:w="7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ntla-ex97_1.htm">
              <w:r>
                <w:rPr>
                  <w:rStyle w:val="InternetLink"/>
                  <w:rFonts w:ascii="Times New Roman" w:hAnsi="Times New Roman"/>
                  <w:color w:val="000000"/>
                  <w:sz w:val="20"/>
                </w:rPr>
                <w:t>Intellia Therapeutics, Inc. Compensation Recovery Policy</w:t>
              </w:r>
            </w:hyperlink>
          </w:p>
        </w:tc>
      </w:tr>
      <w:tr>
        <w:trPr/>
        <w:tc>
          <w:tcPr>
            <w:tcW w:w="7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 Portions of this exhibit (indicated by asterisks) have been omitted pursuant to Item 601(b)(10) of Regulation S-K.</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xml:space="preserve"># Indicates a management contract or any compensatory plan, contract or arrangement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Incorporated by reference to the Registrant’s Quarterly Report on Form 10-Q (File No. 001-37766) filed with the Securities and Exchange Commission on May 7, 2020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Incorporated by reference to the Registration Statement on Form S-1 (File No. 333-210689) filed with the Securities and Exchange Commission on May 5, 2016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Incorporated by reference to the Registration Statement on Form S-1 (File No. 333-210689) filed with the Securities and Exchange Commission on April 27, 2016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Incorporated by reference to the Registration Statement on Registrant’s Quarterly Report on Form 10-Q (File No. 001-37766) filed with the Securities and Exchange Commission on May 5, 2022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Incorporated by reference to the Registration Statement on Form S-1 (File No. 333-210689) filed with the Securities and Exchange Commission on April 11, 2016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Incorporated by reference to the Registration Statement on Form S-1 (File No. 333-210689) filed with the Securities and Exchange Commission on April 12, 2016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rFonts w:ascii="Times New Roman" w:hAnsi="Times New Roman"/>
          <w:color w:val="000000"/>
          <w:sz w:val="20"/>
        </w:rPr>
      </w:pPr>
      <w:r>
        <w:rPr>
          <w:rFonts w:ascii="Times New Roman" w:hAnsi="Times New Roman"/>
          <w:color w:val="000000"/>
          <w:sz w:val="20"/>
        </w:rPr>
        <w:t>Incorporated by reference to the Registrant’s Current Report on Form 8-K (File No. 001-37766) filed with the Securities and Exchange Commission on April 17, 2018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Quarterly Report on Form 10-Q (File No. 001-37766) filed with the Securities and Exchange Commission on October 31, 2018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Annual Report on Form 10-K (File No. 001-37766) filed with the Securities and Exchange Commission on February 27, 2019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Quarterly Report on Form 10-Q (File No. 001-37766) filed with the Securities and Exchange Commission on May 2, 2019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Annual Report on Form 10-K (File No. 001-37766) filed with the Securities and Exchange Commission on February 23, 2023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Quarterly Report on Form 10-Q (File No. 001-37766) filed with the Securities and Exchange Commission on May 7, 2020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Current Report on Form 8-K (File No. 001-37766) filed with the Securities and Exchange Commission on June 1, 2020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Quarterly Report on Form 10-Q (File No. 001-37766) filed with the Securities and Exchange Commission on August 3, 2023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Annual Report on Form 10-K (File No. 001-37766) filed with the Securities and Exchange Commission on February 27, 2020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Current Report on Form 8-K (File No. 001-37766) filed with the Securities and Exchange Commission on June 17, 2021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Annual Report on Form 10-K (File No. 001-37766) filed with the Securities and Exchange Commission on February 24, 2022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by reference to the Registrant’s Quarterly Report on Form 10-Q (File No. 001-37766) filed with the Securities and Exchange Commission on November 9, 2023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(19)</w:t>
      </w:r>
    </w:p>
    <w:p>
      <w:pPr>
        <w:pStyle w:val="TextBody"/>
        <w:bidi w:val="0"/>
        <w:jc w:val="both"/>
        <w:rPr>
          <w:rFonts w:ascii="Times New Roman" w:hAnsi="Times New Roman"/>
          <w:color w:val="000000"/>
          <w:sz w:val="20"/>
        </w:rPr>
      </w:pPr>
      <w:r>
        <w:rPr>
          <w:rFonts w:ascii="Times New Roman" w:hAnsi="Times New Roman"/>
          <w:color w:val="000000"/>
          <w:sz w:val="20"/>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6" w:name="signatures"/>
      <w:bookmarkEnd w:id="36"/>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both"/>
        <w:rPr/>
      </w:pPr>
      <w:r>
        <w:rPr/>
        <w:t> </w:t>
      </w:r>
    </w:p>
    <w:tbl>
      <w:tblPr>
        <w:tblW w:w="3662" w:type="dxa"/>
        <w:jc w:val="left"/>
        <w:tblInd w:w="0" w:type="dxa"/>
        <w:tblLayout w:type="fixed"/>
        <w:tblCellMar>
          <w:top w:w="28" w:type="dxa"/>
          <w:left w:w="28" w:type="dxa"/>
          <w:bottom w:w="28" w:type="dxa"/>
          <w:right w:w="28" w:type="dxa"/>
        </w:tblCellMar>
      </w:tblPr>
      <w:tblGrid>
        <w:gridCol w:w="421"/>
        <w:gridCol w:w="3241"/>
      </w:tblGrid>
      <w:tr>
        <w:trPr/>
        <w:tc>
          <w:tcPr>
            <w:tcW w:w="42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66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INTELLIA THERAPEUTICS, INC.</w:t>
            </w:r>
          </w:p>
        </w:tc>
      </w:tr>
      <w:tr>
        <w:trPr/>
        <w:tc>
          <w:tcPr>
            <w:tcW w:w="421"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 Leonard</w:t>
            </w:r>
          </w:p>
        </w:tc>
      </w:tr>
      <w:tr>
        <w:trPr/>
        <w:tc>
          <w:tcPr>
            <w:tcW w:w="421"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r>
      <w:tr>
        <w:trPr/>
        <w:tc>
          <w:tcPr>
            <w:tcW w:w="421"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February 22,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by the following persons on behalf of the registrant in the capacities and on the dates indicated. </w:t>
      </w:r>
    </w:p>
    <w:p>
      <w:pPr>
        <w:pStyle w:val="TextBody"/>
        <w:bidi w:val="0"/>
        <w:jc w:val="left"/>
        <w:rPr/>
      </w:pPr>
      <w:r>
        <w:rPr/>
        <w:t> </w:t>
      </w:r>
    </w:p>
    <w:tbl>
      <w:tblPr>
        <w:tblW w:w="8848" w:type="dxa"/>
        <w:jc w:val="left"/>
        <w:tblInd w:w="0" w:type="dxa"/>
        <w:tblLayout w:type="fixed"/>
        <w:tblCellMar>
          <w:top w:w="28" w:type="dxa"/>
          <w:left w:w="28" w:type="dxa"/>
          <w:bottom w:w="28" w:type="dxa"/>
          <w:right w:w="28" w:type="dxa"/>
        </w:tblCellMar>
      </w:tblPr>
      <w:tblGrid>
        <w:gridCol w:w="2143"/>
        <w:gridCol w:w="293"/>
        <w:gridCol w:w="4243"/>
        <w:gridCol w:w="293"/>
        <w:gridCol w:w="1876"/>
      </w:tblGrid>
      <w:tr>
        <w:trPr/>
        <w:tc>
          <w:tcPr>
            <w:tcW w:w="21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21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14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24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143"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/s/ John M. Leonard</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ind w:left="147" w:right="0" w:firstLine="147"/>
              <w:jc w:val="left"/>
              <w:rPr/>
            </w:pPr>
            <w:r>
              <w:rPr/>
              <w:t> </w:t>
            </w:r>
          </w:p>
        </w:tc>
        <w:tc>
          <w:tcPr>
            <w:tcW w:w="424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left"/>
              <w:rPr>
                <w:rFonts w:ascii="Times New Roman" w:hAnsi="Times New Roman"/>
                <w:color w:val="000000"/>
                <w:sz w:val="20"/>
              </w:rPr>
            </w:pPr>
            <w:r>
              <w:rPr>
                <w:rFonts w:ascii="Times New Roman" w:hAnsi="Times New Roman"/>
                <w:color w:val="000000"/>
                <w:sz w:val="20"/>
              </w:rPr>
              <w:t>President, Chief Executive Officer and Director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22, 2024</w:t>
            </w:r>
          </w:p>
        </w:tc>
      </w:tr>
      <w:tr>
        <w:trPr/>
        <w:tc>
          <w:tcPr>
            <w:tcW w:w="2143" w:type="dxa"/>
            <w:tcBorders/>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John M. Leonard, M.D.</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rFonts w:ascii="Times New Roman" w:hAnsi="Times New Roman"/>
                <w:i/>
                <w:color w:val="000000"/>
                <w:sz w:val="20"/>
              </w:rPr>
            </w:pPr>
            <w:r>
              <w:rPr>
                <w:rFonts w:ascii="Times New Roman" w:hAnsi="Times New Roman"/>
                <w:i/>
                <w:color w:val="000000"/>
                <w:sz w:val="20"/>
              </w:rPr>
              <w:t>(Principal Executive Officer)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pPr>
            <w:r>
              <w:rPr/>
              <w:t> </w:t>
            </w:r>
          </w:p>
        </w:tc>
      </w:tr>
      <w:tr>
        <w:trPr/>
        <w:tc>
          <w:tcPr>
            <w:tcW w:w="2143"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/s/ Glenn Goddard</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ind w:left="147" w:right="0" w:firstLine="147"/>
              <w:jc w:val="left"/>
              <w:rPr/>
            </w:pPr>
            <w:r>
              <w:rPr/>
              <w:t> </w:t>
            </w:r>
          </w:p>
        </w:tc>
        <w:tc>
          <w:tcPr>
            <w:tcW w:w="424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left"/>
              <w:rPr>
                <w:rFonts w:ascii="Times New Roman" w:hAnsi="Times New Roman"/>
                <w:color w:val="000000"/>
                <w:sz w:val="20"/>
              </w:rPr>
            </w:pPr>
            <w:r>
              <w:rPr>
                <w:rFonts w:ascii="Times New Roman" w:hAnsi="Times New Roman"/>
                <w:color w:val="000000"/>
                <w:sz w:val="20"/>
              </w:rPr>
              <w:t>Executive Vice President, Chief Financial Officer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22, 2024</w:t>
            </w:r>
          </w:p>
        </w:tc>
      </w:tr>
      <w:tr>
        <w:trPr/>
        <w:tc>
          <w:tcPr>
            <w:tcW w:w="2143" w:type="dxa"/>
            <w:tcBorders/>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Glenn Goddard</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143" w:type="dxa"/>
            <w:tcBorders/>
            <w:vAlign w:val="center"/>
          </w:tcPr>
          <w:p>
            <w:pPr>
              <w:pStyle w:val="TableContents"/>
              <w:pBdr/>
              <w:bidi w:val="0"/>
              <w:spacing w:before="0" w:after="283"/>
              <w:ind w:left="0" w:right="0" w:firstLine="147"/>
              <w:jc w:val="center"/>
              <w:rPr/>
            </w:pPr>
            <w:r>
              <w:rPr/>
              <w:t> </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pPr>
            <w:r>
              <w:rPr/>
              <w:t> </w:t>
            </w:r>
          </w:p>
        </w:tc>
      </w:tr>
      <w:tr>
        <w:trPr/>
        <w:tc>
          <w:tcPr>
            <w:tcW w:w="2143"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/s/ Muna Bhanji</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rFonts w:ascii="Times New Roman" w:hAnsi="Times New Roman"/>
                <w:color w:val="000000"/>
                <w:sz w:val="20"/>
              </w:rPr>
            </w:pPr>
            <w:r>
              <w:rPr>
                <w:rFonts w:ascii="Times New Roman" w:hAnsi="Times New Roman"/>
                <w:color w:val="000000"/>
                <w:sz w:val="20"/>
              </w:rPr>
              <w:t>Director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22, 2024</w:t>
            </w:r>
          </w:p>
        </w:tc>
      </w:tr>
      <w:tr>
        <w:trPr/>
        <w:tc>
          <w:tcPr>
            <w:tcW w:w="2143" w:type="dxa"/>
            <w:tcBorders/>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Muna Bhanji</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pPr>
            <w:r>
              <w:rPr/>
              <w:t> </w:t>
            </w:r>
          </w:p>
        </w:tc>
      </w:tr>
      <w:tr>
        <w:trPr/>
        <w:tc>
          <w:tcPr>
            <w:tcW w:w="2143" w:type="dxa"/>
            <w:tcBorders/>
            <w:vAlign w:val="center"/>
          </w:tcPr>
          <w:p>
            <w:pPr>
              <w:pStyle w:val="TableContents"/>
              <w:pBdr/>
              <w:bidi w:val="0"/>
              <w:spacing w:before="0" w:after="283"/>
              <w:ind w:left="0" w:right="0" w:firstLine="147"/>
              <w:jc w:val="center"/>
              <w:rPr/>
            </w:pPr>
            <w:r>
              <w:rPr/>
              <w:t> </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pPr>
            <w:r>
              <w:rPr/>
              <w:t> </w:t>
            </w:r>
          </w:p>
        </w:tc>
      </w:tr>
      <w:tr>
        <w:trPr/>
        <w:tc>
          <w:tcPr>
            <w:tcW w:w="2143"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/s/ Bill Chase</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ind w:left="147" w:right="0" w:firstLine="147"/>
              <w:jc w:val="left"/>
              <w:rPr/>
            </w:pPr>
            <w:r>
              <w:rPr/>
              <w:t> </w:t>
            </w:r>
          </w:p>
        </w:tc>
        <w:tc>
          <w:tcPr>
            <w:tcW w:w="424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left"/>
              <w:rPr>
                <w:rFonts w:ascii="Times New Roman" w:hAnsi="Times New Roman"/>
                <w:color w:val="000000"/>
                <w:sz w:val="20"/>
              </w:rPr>
            </w:pPr>
            <w:r>
              <w:rPr>
                <w:rFonts w:ascii="Times New Roman" w:hAnsi="Times New Roman"/>
                <w:color w:val="000000"/>
                <w:sz w:val="20"/>
              </w:rPr>
              <w:t>Director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22, 2024</w:t>
            </w:r>
          </w:p>
        </w:tc>
      </w:tr>
      <w:tr>
        <w:trPr/>
        <w:tc>
          <w:tcPr>
            <w:tcW w:w="2143" w:type="dxa"/>
            <w:tcBorders/>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Bill Chase</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sz w:val="4"/>
                <w:szCs w:val="4"/>
              </w:rPr>
            </w:pPr>
            <w:r>
              <w:rPr>
                <w:sz w:val="4"/>
                <w:szCs w:val="4"/>
              </w:rPr>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pPr>
            <w:r>
              <w:rPr/>
              <w:t> </w:t>
            </w:r>
          </w:p>
        </w:tc>
      </w:tr>
      <w:tr>
        <w:trPr/>
        <w:tc>
          <w:tcPr>
            <w:tcW w:w="2143"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/s/ Fred Cohen</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ind w:left="147" w:right="0" w:firstLine="147"/>
              <w:jc w:val="left"/>
              <w:rPr/>
            </w:pPr>
            <w:r>
              <w:rPr/>
              <w:t> </w:t>
            </w:r>
          </w:p>
        </w:tc>
        <w:tc>
          <w:tcPr>
            <w:tcW w:w="424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left"/>
              <w:rPr>
                <w:rFonts w:ascii="Times New Roman" w:hAnsi="Times New Roman"/>
                <w:color w:val="000000"/>
                <w:sz w:val="20"/>
              </w:rPr>
            </w:pPr>
            <w:r>
              <w:rPr>
                <w:rFonts w:ascii="Times New Roman" w:hAnsi="Times New Roman"/>
                <w:color w:val="000000"/>
                <w:sz w:val="20"/>
              </w:rPr>
              <w:t>Director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22, 2024</w:t>
            </w:r>
          </w:p>
        </w:tc>
      </w:tr>
      <w:tr>
        <w:trPr/>
        <w:tc>
          <w:tcPr>
            <w:tcW w:w="2143" w:type="dxa"/>
            <w:tcBorders/>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Fred Cohen, M.D.</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sz w:val="4"/>
                <w:szCs w:val="4"/>
              </w:rPr>
            </w:pPr>
            <w:r>
              <w:rPr>
                <w:sz w:val="4"/>
                <w:szCs w:val="4"/>
              </w:rPr>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pPr>
            <w:r>
              <w:rPr/>
              <w:t> </w:t>
            </w:r>
          </w:p>
        </w:tc>
      </w:tr>
      <w:tr>
        <w:trPr/>
        <w:tc>
          <w:tcPr>
            <w:tcW w:w="2143"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/s/ Jesse Goodman</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ind w:left="147" w:right="0" w:firstLine="147"/>
              <w:jc w:val="left"/>
              <w:rPr/>
            </w:pPr>
            <w:r>
              <w:rPr/>
              <w:t> </w:t>
            </w:r>
          </w:p>
        </w:tc>
        <w:tc>
          <w:tcPr>
            <w:tcW w:w="424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left"/>
              <w:rPr>
                <w:rFonts w:ascii="Times New Roman" w:hAnsi="Times New Roman"/>
                <w:color w:val="000000"/>
                <w:sz w:val="20"/>
              </w:rPr>
            </w:pPr>
            <w:r>
              <w:rPr>
                <w:rFonts w:ascii="Times New Roman" w:hAnsi="Times New Roman"/>
                <w:color w:val="000000"/>
                <w:sz w:val="20"/>
              </w:rPr>
              <w:t>Director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22, 2024</w:t>
            </w:r>
          </w:p>
        </w:tc>
      </w:tr>
      <w:tr>
        <w:trPr/>
        <w:tc>
          <w:tcPr>
            <w:tcW w:w="2143" w:type="dxa"/>
            <w:tcBorders/>
            <w:vAlign w:val="center"/>
          </w:tcPr>
          <w:p>
            <w:pPr>
              <w:pStyle w:val="TableContents"/>
              <w:pBdr/>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Jesse Goodman, M.D.</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sz w:val="4"/>
                <w:szCs w:val="4"/>
              </w:rPr>
            </w:pPr>
            <w:r>
              <w:rPr>
                <w:sz w:val="4"/>
                <w:szCs w:val="4"/>
              </w:rPr>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jc w:val="center"/>
              <w:rPr/>
            </w:pPr>
            <w:r>
              <w:rPr/>
              <w:t> </w:t>
            </w:r>
          </w:p>
        </w:tc>
      </w:tr>
      <w:tr>
        <w:trPr/>
        <w:tc>
          <w:tcPr>
            <w:tcW w:w="214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/s/ Georgia Keresty</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ind w:left="147" w:right="0" w:firstLine="147"/>
              <w:jc w:val="left"/>
              <w:rPr/>
            </w:pPr>
            <w:r>
              <w:rPr/>
              <w:t> </w:t>
            </w:r>
          </w:p>
        </w:tc>
        <w:tc>
          <w:tcPr>
            <w:tcW w:w="424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left"/>
              <w:rPr>
                <w:rFonts w:ascii="Times New Roman" w:hAnsi="Times New Roman"/>
                <w:color w:val="000000"/>
                <w:sz w:val="20"/>
              </w:rPr>
            </w:pPr>
            <w:r>
              <w:rPr>
                <w:rFonts w:ascii="Times New Roman" w:hAnsi="Times New Roman"/>
                <w:color w:val="000000"/>
                <w:sz w:val="20"/>
              </w:rPr>
              <w:t>Director</w:t>
            </w:r>
          </w:p>
        </w:tc>
        <w:tc>
          <w:tcPr>
            <w:tcW w:w="293" w:type="dxa"/>
            <w:tcBorders/>
            <w:vAlign w:val="center"/>
          </w:tcPr>
          <w:p>
            <w:pPr>
              <w:pStyle w:val="TableContents"/>
              <w:bidi w:val="0"/>
              <w:spacing w:before="0" w:after="283"/>
              <w:ind w:left="147" w:right="0" w:firstLine="147"/>
              <w:jc w:val="left"/>
              <w:rPr/>
            </w:pPr>
            <w:r>
              <w:rPr/>
              <w:t> </w:t>
            </w:r>
          </w:p>
        </w:tc>
        <w:tc>
          <w:tcPr>
            <w:tcW w:w="18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143" w:type="dxa"/>
            <w:tcBorders/>
            <w:vAlign w:val="center"/>
          </w:tcPr>
          <w:p>
            <w:pPr>
              <w:pStyle w:val="TableContents"/>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Georgia Keresty</w:t>
            </w:r>
          </w:p>
        </w:tc>
        <w:tc>
          <w:tcPr>
            <w:tcW w:w="293" w:type="dxa"/>
            <w:tcBorders/>
            <w:vAlign w:val="center"/>
          </w:tcPr>
          <w:p>
            <w:pPr>
              <w:pStyle w:val="TableContents"/>
              <w:bidi w:val="0"/>
              <w:spacing w:before="0" w:after="283"/>
              <w:ind w:left="147" w:right="0" w:firstLine="147"/>
              <w:jc w:val="left"/>
              <w:rPr/>
            </w:pPr>
            <w:r>
              <w:rPr/>
              <w:t> </w:t>
            </w:r>
          </w:p>
        </w:tc>
        <w:tc>
          <w:tcPr>
            <w:tcW w:w="424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0" w:right="0" w:firstLine="147"/>
              <w:jc w:val="left"/>
              <w:rPr/>
            </w:pPr>
            <w:r>
              <w:rPr/>
              <w:t> </w:t>
            </w:r>
          </w:p>
        </w:tc>
        <w:tc>
          <w:tcPr>
            <w:tcW w:w="1876" w:type="dxa"/>
            <w:tcBorders/>
            <w:vAlign w:val="center"/>
          </w:tcPr>
          <w:p>
            <w:pPr>
              <w:pStyle w:val="TableContents"/>
              <w:bidi w:val="0"/>
              <w:spacing w:before="0" w:after="283"/>
              <w:ind w:left="147" w:right="0" w:firstLine="147"/>
              <w:jc w:val="left"/>
              <w:rPr/>
            </w:pPr>
            <w:r>
              <w:rPr/>
              <w:t> </w:t>
            </w:r>
          </w:p>
        </w:tc>
      </w:tr>
    </w:tbl>
    <w:p>
      <w:pPr>
        <w:pStyle w:val="TextBody"/>
        <w:bidi w:val="0"/>
        <w:jc w:val="left"/>
        <w:rPr/>
      </w:pPr>
      <w:r>
        <w:rPr/>
        <w:t> </w:t>
      </w:r>
    </w:p>
    <w:tbl>
      <w:tblPr>
        <w:tblW w:w="5038" w:type="dxa"/>
        <w:jc w:val="left"/>
        <w:tblInd w:w="0" w:type="dxa"/>
        <w:tblLayout w:type="fixed"/>
        <w:tblCellMar>
          <w:top w:w="28" w:type="dxa"/>
          <w:left w:w="28" w:type="dxa"/>
          <w:bottom w:w="28" w:type="dxa"/>
          <w:right w:w="28" w:type="dxa"/>
        </w:tblCellMar>
      </w:tblPr>
      <w:tblGrid>
        <w:gridCol w:w="1903"/>
        <w:gridCol w:w="293"/>
        <w:gridCol w:w="913"/>
        <w:gridCol w:w="293"/>
        <w:gridCol w:w="1636"/>
      </w:tblGrid>
      <w:tr>
        <w:trPr/>
        <w:tc>
          <w:tcPr>
            <w:tcW w:w="19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0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91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147" w:right="0" w:firstLine="147"/>
              <w:jc w:val="left"/>
              <w:rPr/>
            </w:pPr>
            <w:r>
              <w:rPr/>
              <w:t> </w:t>
            </w:r>
          </w:p>
        </w:tc>
        <w:tc>
          <w:tcPr>
            <w:tcW w:w="1636" w:type="dxa"/>
            <w:tcBorders/>
            <w:vAlign w:val="center"/>
          </w:tcPr>
          <w:p>
            <w:pPr>
              <w:pStyle w:val="TableContents"/>
              <w:bidi w:val="0"/>
              <w:spacing w:before="0" w:after="283"/>
              <w:jc w:val="center"/>
              <w:rPr/>
            </w:pPr>
            <w:r>
              <w:rPr/>
              <w:t> </w:t>
            </w:r>
          </w:p>
        </w:tc>
      </w:tr>
      <w:tr>
        <w:trPr/>
        <w:tc>
          <w:tcPr>
            <w:tcW w:w="190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/s/ Frank Verwiel</w:t>
            </w:r>
          </w:p>
        </w:tc>
        <w:tc>
          <w:tcPr>
            <w:tcW w:w="293" w:type="dxa"/>
            <w:tcBorders>
              <w:bottom w:val="single" w:sz="4" w:space="0" w:color="000000"/>
            </w:tcBorders>
            <w:tcMar>
              <w:top w:w="0" w:type="dxa"/>
              <w:left w:w="0" w:type="dxa"/>
              <w:right w:w="0" w:type="dxa"/>
            </w:tcMar>
            <w:vAlign w:val="center"/>
          </w:tcPr>
          <w:p>
            <w:pPr>
              <w:pStyle w:val="TableContents"/>
              <w:bidi w:val="0"/>
              <w:spacing w:before="0" w:after="283"/>
              <w:ind w:left="147" w:right="0" w:firstLine="147"/>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283"/>
              <w:ind w:left="0" w:right="0" w:firstLine="147"/>
              <w:jc w:val="left"/>
              <w:rPr>
                <w:rFonts w:ascii="Times New Roman" w:hAnsi="Times New Roman"/>
                <w:color w:val="000000"/>
                <w:sz w:val="20"/>
              </w:rPr>
            </w:pPr>
            <w:r>
              <w:rPr>
                <w:rFonts w:ascii="Times New Roman" w:hAnsi="Times New Roman"/>
                <w:color w:val="000000"/>
                <w:sz w:val="20"/>
              </w:rPr>
              <w:t>Director</w:t>
            </w:r>
          </w:p>
        </w:tc>
        <w:tc>
          <w:tcPr>
            <w:tcW w:w="293" w:type="dxa"/>
            <w:tcBorders/>
            <w:vAlign w:val="center"/>
          </w:tcPr>
          <w:p>
            <w:pPr>
              <w:pStyle w:val="TableContents"/>
              <w:bidi w:val="0"/>
              <w:spacing w:before="0" w:after="283"/>
              <w:ind w:left="147" w:right="0" w:firstLine="147"/>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903" w:type="dxa"/>
            <w:tcBorders/>
            <w:vAlign w:val="center"/>
          </w:tcPr>
          <w:p>
            <w:pPr>
              <w:pStyle w:val="TableContents"/>
              <w:bidi w:val="0"/>
              <w:spacing w:before="0" w:after="283"/>
              <w:ind w:left="0" w:right="0" w:firstLine="147"/>
              <w:jc w:val="center"/>
              <w:rPr>
                <w:rFonts w:ascii="Times New Roman" w:hAnsi="Times New Roman"/>
                <w:color w:val="000000"/>
                <w:sz w:val="20"/>
              </w:rPr>
            </w:pPr>
            <w:r>
              <w:rPr>
                <w:rFonts w:ascii="Times New Roman" w:hAnsi="Times New Roman"/>
                <w:color w:val="000000"/>
                <w:sz w:val="20"/>
              </w:rPr>
              <w:t>Frank Verwiel, M.D.</w:t>
            </w:r>
          </w:p>
        </w:tc>
        <w:tc>
          <w:tcPr>
            <w:tcW w:w="293" w:type="dxa"/>
            <w:tcBorders/>
            <w:vAlign w:val="center"/>
          </w:tcPr>
          <w:p>
            <w:pPr>
              <w:pStyle w:val="TableContents"/>
              <w:bidi w:val="0"/>
              <w:spacing w:before="0" w:after="283"/>
              <w:ind w:left="147" w:right="0" w:firstLine="147"/>
              <w:jc w:val="left"/>
              <w:rPr/>
            </w:pPr>
            <w:r>
              <w:rPr/>
              <w:t> </w:t>
            </w:r>
          </w:p>
        </w:tc>
        <w:tc>
          <w:tcPr>
            <w:tcW w:w="913" w:type="dxa"/>
            <w:tcBorders/>
            <w:vAlign w:val="center"/>
          </w:tcPr>
          <w:p>
            <w:pPr>
              <w:pStyle w:val="TableContents"/>
              <w:bidi w:val="0"/>
              <w:spacing w:before="0" w:after="283"/>
              <w:ind w:left="0" w:right="0" w:firstLine="147"/>
              <w:jc w:val="left"/>
              <w:rPr/>
            </w:pPr>
            <w:r>
              <w:rPr/>
              <w:t> </w:t>
            </w:r>
          </w:p>
        </w:tc>
        <w:tc>
          <w:tcPr>
            <w:tcW w:w="293" w:type="dxa"/>
            <w:tcBorders/>
            <w:vAlign w:val="center"/>
          </w:tcPr>
          <w:p>
            <w:pPr>
              <w:pStyle w:val="TableContents"/>
              <w:bidi w:val="0"/>
              <w:spacing w:before="0" w:after="283"/>
              <w:ind w:left="0" w:right="0" w:firstLine="147"/>
              <w:jc w:val="left"/>
              <w:rPr/>
            </w:pPr>
            <w:r>
              <w:rPr/>
              <w:t> </w:t>
            </w:r>
          </w:p>
        </w:tc>
        <w:tc>
          <w:tcPr>
            <w:tcW w:w="1636" w:type="dxa"/>
            <w:tcBorders/>
            <w:vAlign w:val="center"/>
          </w:tcPr>
          <w:p>
            <w:pPr>
              <w:pStyle w:val="TableContents"/>
              <w:bidi w:val="0"/>
              <w:spacing w:before="0" w:after="283"/>
              <w:ind w:left="147" w:right="0" w:firstLine="147"/>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right"/>
        <w:rPr/>
      </w:pPr>
      <w:bookmarkStart w:id="37" w:name="ntla-ex3_1.htm"/>
      <w:bookmarkStart w:id="38" w:name="ksntlaex3_1"/>
      <w:bookmarkEnd w:id="37"/>
      <w:bookmarkEnd w:id="38"/>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3.1</w:t>
      </w:r>
    </w:p>
    <w:p>
      <w:pPr>
        <w:pStyle w:val="TextBody"/>
        <w:bidi w:val="0"/>
        <w:jc w:val="center"/>
        <w:rPr>
          <w:rFonts w:ascii="Times New Roman" w:hAnsi="Times New Roman"/>
          <w:b/>
          <w:color w:val="000000"/>
          <w:sz w:val="24"/>
        </w:rPr>
      </w:pPr>
      <w:r>
        <w:rPr>
          <w:rFonts w:ascii="Times New Roman" w:hAnsi="Times New Roman"/>
          <w:b/>
          <w:color w:val="000000"/>
          <w:sz w:val="24"/>
        </w:rPr>
        <w:t>SECOND AMENDED AND RESTATED</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CERTIFICATE OF INCORPORATION</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INTELLIA THERAPEUTICS,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Intellia Therapeutics, Inc., a corporation organized and existing under the laws of the State of Delaware (the “Corporation”), hereby certifies as follows: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The name of the Corporation is Intellia Therapeutics, Inc. The date of the filing of its original Certificate of Incorporation with the Secretary of State of the State of Delaware was May 7, 2014 (the “Original Certificate”). The name under which the Corporation filed the Original Certificate was AZRN,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This Amended and Restated Certificate of Incorporation (the “Certificate”) amends, restates and integrates the provisions of the Amended and Restated Certificate of Incorporation that was filed with the Secretary of State of the State of Delaware on August 20, 2015 (the “Amended and Restated Certificate”), and was duly adopted in accordance with the provisions of Sections 228, 242 and 245 of the Delaware General Corporation Law (the “DGCL”).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The text of the Amended and Restated Certificate is hereby amended and restated in its entirety to provide as herein set forth in full.</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w:t>
      </w:r>
    </w:p>
    <w:p>
      <w:pPr>
        <w:pStyle w:val="TextBody"/>
        <w:bidi w:val="0"/>
        <w:jc w:val="left"/>
        <w:rPr>
          <w:rFonts w:ascii="Times New Roman" w:hAnsi="Times New Roman"/>
          <w:color w:val="000000"/>
          <w:sz w:val="24"/>
        </w:rPr>
      </w:pPr>
      <w:r>
        <w:rPr>
          <w:rFonts w:ascii="Times New Roman" w:hAnsi="Times New Roman"/>
          <w:color w:val="000000"/>
          <w:sz w:val="24"/>
        </w:rPr>
        <w:t>The name of the Corporation is Intellia Therapeutics, Inc.</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II</w:t>
      </w:r>
    </w:p>
    <w:p>
      <w:pPr>
        <w:pStyle w:val="TextBody"/>
        <w:bidi w:val="0"/>
        <w:jc w:val="left"/>
        <w:rPr>
          <w:rFonts w:ascii="Times New Roman" w:hAnsi="Times New Roman"/>
          <w:color w:val="000000"/>
          <w:sz w:val="24"/>
        </w:rPr>
      </w:pPr>
      <w:r>
        <w:rPr>
          <w:rFonts w:ascii="Times New Roman" w:hAnsi="Times New Roman"/>
          <w:color w:val="000000"/>
          <w:sz w:val="24"/>
        </w:rPr>
        <w:t>The address of the Corporation’s registered office in the State of Delaware is c/o The Corporation Trust Company, 1209 Orange Street in the City of Wilmington, County of New Castle, 19801. The name of its registered agent at such address is The Corporation Trust Company.</w:t>
      </w:r>
    </w:p>
    <w:p>
      <w:pPr>
        <w:pStyle w:val="TextBody"/>
        <w:bidi w:val="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III</w:t>
      </w:r>
    </w:p>
    <w:p>
      <w:pPr>
        <w:pStyle w:val="TextBody"/>
        <w:bidi w:val="0"/>
        <w:jc w:val="left"/>
        <w:rPr>
          <w:rFonts w:ascii="Times New Roman" w:hAnsi="Times New Roman"/>
          <w:color w:val="000000"/>
          <w:sz w:val="24"/>
        </w:rPr>
      </w:pPr>
      <w:r>
        <w:rPr>
          <w:rFonts w:ascii="Times New Roman" w:hAnsi="Times New Roman"/>
          <w:color w:val="000000"/>
          <w:sz w:val="24"/>
        </w:rPr>
        <w:t>The purpose of the Corporation is to engage in any lawful act or activity for which corporations may be organized under the DGCL.</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IV</w:t>
      </w:r>
    </w:p>
    <w:p>
      <w:pPr>
        <w:pStyle w:val="TextBody"/>
        <w:bidi w:val="0"/>
        <w:spacing w:before="240" w:after="240"/>
        <w:jc w:val="center"/>
        <w:rPr/>
      </w:pPr>
      <w:r>
        <w:rPr>
          <w:rFonts w:ascii="Times New Roman" w:hAnsi="Times New Roman"/>
          <w:b/>
          <w:color w:val="000000"/>
          <w:sz w:val="28"/>
          <w:u w:val="single"/>
        </w:rPr>
        <w:br/>
        <w:br/>
      </w:r>
      <w:r>
        <w:rPr>
          <w:rFonts w:ascii="Times New Roman" w:hAnsi="Times New Roman"/>
          <w:color w:val="000000"/>
          <w:sz w:val="24"/>
          <w:u w:val="single"/>
        </w:rPr>
        <w:t>CAPITAL STOCK</w:t>
      </w:r>
    </w:p>
    <w:p>
      <w:pPr>
        <w:pStyle w:val="TextBody"/>
        <w:bidi w:val="0"/>
        <w:jc w:val="left"/>
        <w:rPr>
          <w:rFonts w:ascii="Times New Roman" w:hAnsi="Times New Roman"/>
          <w:color w:val="000000"/>
          <w:sz w:val="24"/>
        </w:rPr>
      </w:pPr>
      <w:r>
        <w:rPr>
          <w:rFonts w:ascii="Times New Roman" w:hAnsi="Times New Roman"/>
          <w:color w:val="000000"/>
          <w:sz w:val="24"/>
        </w:rPr>
        <w:t>The total number of shares of capital stock which the Corporation shall have authority to issue is one hundred twenty-five million (125,000,000), of which (i) one hundred twenty million (120,000,000) shares shall be a class designated as common stock, par value $0.0001 per share (the “Common Stock”), and (ii) five million (5,000,000) shares shall be a class designated as undesignated preferred stock, par value $0.0001 per share (the “Undesignated Preferred Stock”).</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powers, preferences and rights of, and the qualifications, limitations and restrictions upon, each class or series of stock shall be determined in accordance with, or as set forth below in, this Article IV.</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COMMON STOCK</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Subject to all the rights, powers and preferences of the Undesignated Preferred Stock and except as provided by law or in this Certificate (or in any certificate of designations of any series of Undesignated Preferred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upon the voluntary or involuntary liquidation, dissolution or winding up of the Corporation, the net assets of the Corporation shall be distributed pro rata to the holders of the Common Stock.</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UNDESIGNATED PREFERRED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r>
        <w:rPr>
          <w:rFonts w:ascii="Times New Roman" w:hAnsi="Times New Roman"/>
          <w:color w:val="000000"/>
          <w:sz w:val="20"/>
        </w:rPr>
        <w:t xml:space="preserve">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V</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STOCKHOLDER ACTION</w:t>
      </w:r>
    </w:p>
    <w:p>
      <w:pPr>
        <w:pStyle w:val="TextBody"/>
        <w:bidi w:val="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Action without Meeting</w:t>
      </w:r>
      <w:r>
        <w:rPr>
          <w:rFonts w:ascii="Times New Roman" w:hAnsi="Times New Roman"/>
          <w:color w:val="000000"/>
          <w:sz w:val="24"/>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Special Meetings</w:t>
      </w:r>
      <w:r>
        <w:rPr>
          <w:rFonts w:ascii="Times New Roman" w:hAnsi="Times New Roman"/>
          <w:color w:val="000000"/>
          <w:sz w:val="24"/>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pStyle w:val="TextBody"/>
        <w:bidi w:val="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VI</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DIRECTORS</w:t>
      </w:r>
    </w:p>
    <w:p>
      <w:pPr>
        <w:pStyle w:val="TextBody"/>
        <w:bidi w:val="0"/>
        <w:jc w:val="left"/>
        <w:rPr/>
      </w:pPr>
      <w:r>
        <w:rPr/>
        <w:t>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120"/>
        <w:jc w:val="left"/>
        <w:rPr/>
      </w:pPr>
      <w:r>
        <w:rPr>
          <w:rFonts w:ascii="Times New Roman" w:hAnsi="Times New Roman"/>
          <w:color w:val="000000"/>
          <w:sz w:val="24"/>
          <w:u w:val="single"/>
        </w:rPr>
        <w:t>General</w:t>
      </w:r>
      <w:r>
        <w:rPr>
          <w:rFonts w:ascii="Times New Roman" w:hAnsi="Times New Roman"/>
          <w:color w:val="000000"/>
          <w:sz w:val="24"/>
        </w:rPr>
        <w:t>. The business and affairs of the Corporation shall be managed by or under the direction of the Board of Directors except as otherwise provided herein or required by law.</w:t>
      </w:r>
    </w:p>
    <w:p>
      <w:pPr>
        <w:pStyle w:val="TextBody"/>
        <w:bidi w:val="0"/>
        <w:jc w:val="left"/>
        <w:rPr/>
      </w:pPr>
      <w:r>
        <w:rPr/>
        <w:t>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120"/>
        <w:jc w:val="left"/>
        <w:rPr/>
      </w:pPr>
      <w:r>
        <w:rPr>
          <w:rFonts w:ascii="Times New Roman" w:hAnsi="Times New Roman"/>
          <w:color w:val="000000"/>
          <w:sz w:val="24"/>
          <w:u w:val="single"/>
        </w:rPr>
        <w:t>Election of Directors</w:t>
      </w:r>
      <w:r>
        <w:rPr>
          <w:rFonts w:ascii="Times New Roman" w:hAnsi="Times New Roman"/>
          <w:color w:val="000000"/>
          <w:sz w:val="24"/>
        </w:rPr>
        <w:t>. Election of Directors need not be by written ballot unless the By</w:t>
        <w:noBreakHyphen/>
        <w:t>laws of the Corporation (the “By-laws”) shall so provide.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3.</w:t>
      </w:r>
    </w:p>
    <w:p>
      <w:pPr>
        <w:pStyle w:val="TextBody"/>
        <w:bidi w:val="0"/>
        <w:spacing w:before="120" w:after="120"/>
        <w:jc w:val="left"/>
        <w:rPr/>
      </w:pPr>
      <w:r>
        <w:rPr>
          <w:rFonts w:ascii="Times New Roman" w:hAnsi="Times New Roman"/>
          <w:color w:val="000000"/>
          <w:sz w:val="24"/>
          <w:u w:val="single"/>
        </w:rPr>
        <w:t>Number of Directors; Term of Office</w:t>
      </w:r>
      <w:r>
        <w:rPr>
          <w:rFonts w:ascii="Times New Roman" w:hAnsi="Times New Roman"/>
          <w:color w:val="000000"/>
          <w:sz w:val="24"/>
        </w:rPr>
        <w:t xml:space="preserve">.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(a)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designated Class I, Class II and Class III. The initial Class I Directors shall serve for a term expiring at the annual meeting of stockholders to be held in 2017, the initial Class II Directors shall serve for a term expiring at the annual meeting of stockholders to be held in 2018, and the initial Class III Directors shall serve for a term expiring at the annual meeting of stockholders to be held in 2019.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names and mailing addresses of the persons who are to serve initially as directors of each class are:</w:t>
      </w:r>
    </w:p>
    <w:tbl>
      <w:tblPr>
        <w:tblW w:w="7008" w:type="dxa"/>
        <w:jc w:val="left"/>
        <w:tblInd w:w="0" w:type="dxa"/>
        <w:tblLayout w:type="fixed"/>
        <w:tblCellMar>
          <w:top w:w="28" w:type="dxa"/>
          <w:left w:w="28" w:type="dxa"/>
          <w:bottom w:w="28" w:type="dxa"/>
          <w:right w:w="28" w:type="dxa"/>
        </w:tblCellMar>
      </w:tblPr>
      <w:tblGrid>
        <w:gridCol w:w="991"/>
        <w:gridCol w:w="2881"/>
        <w:gridCol w:w="3136"/>
      </w:tblGrid>
      <w:tr>
        <w:trPr/>
        <w:tc>
          <w:tcPr>
            <w:tcW w:w="99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9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28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Name</w:t>
            </w:r>
          </w:p>
        </w:tc>
        <w:tc>
          <w:tcPr>
            <w:tcW w:w="31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Mailing Address</w:t>
            </w:r>
          </w:p>
        </w:tc>
      </w:tr>
      <w:tr>
        <w:trPr/>
        <w:tc>
          <w:tcPr>
            <w:tcW w:w="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Class I</w:t>
            </w:r>
          </w:p>
        </w:tc>
        <w:tc>
          <w:tcPr>
            <w:tcW w:w="288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Nessan Bermingham, Ph.D.</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Jean-François Formela, M.D.</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c/o Intellia Therapeutics, Inc.</w:t>
            </w:r>
          </w:p>
          <w:p>
            <w:pPr>
              <w:pStyle w:val="TableContents"/>
              <w:bidi w:val="0"/>
              <w:jc w:val="left"/>
              <w:rPr>
                <w:rFonts w:ascii="Times New Roman" w:hAnsi="Times New Roman"/>
                <w:color w:val="000000"/>
                <w:sz w:val="24"/>
              </w:rPr>
            </w:pPr>
            <w:r>
              <w:rPr>
                <w:rFonts w:ascii="Times New Roman" w:hAnsi="Times New Roman"/>
                <w:color w:val="000000"/>
                <w:sz w:val="24"/>
              </w:rPr>
              <w:t>130 Brookline Street, Suite 201</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Cambridge, MA 02139</w:t>
            </w:r>
          </w:p>
        </w:tc>
      </w:tr>
      <w:tr>
        <w:trPr/>
        <w:tc>
          <w:tcPr>
            <w:tcW w:w="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Class II</w:t>
            </w:r>
          </w:p>
        </w:tc>
        <w:tc>
          <w:tcPr>
            <w:tcW w:w="288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Carl L. Gordon, Ph.D.</w:t>
            </w:r>
          </w:p>
          <w:p>
            <w:pPr>
              <w:pStyle w:val="TableContents"/>
              <w:bidi w:val="0"/>
              <w:jc w:val="left"/>
              <w:rPr>
                <w:rFonts w:ascii="Times New Roman" w:hAnsi="Times New Roman"/>
                <w:color w:val="000000"/>
                <w:sz w:val="24"/>
              </w:rPr>
            </w:pPr>
            <w:r>
              <w:rPr>
                <w:rFonts w:ascii="Times New Roman" w:hAnsi="Times New Roman"/>
                <w:color w:val="000000"/>
                <w:sz w:val="24"/>
              </w:rPr>
              <w:t>Rachel Haurwitz, Ph.D.</w:t>
            </w:r>
          </w:p>
          <w:p>
            <w:pPr>
              <w:pStyle w:val="TableContents"/>
              <w:bidi w:val="0"/>
              <w:spacing w:before="0" w:after="283"/>
              <w:jc w:val="left"/>
              <w:rPr/>
            </w:pPr>
            <w:r>
              <w:rPr/>
              <w:t> </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c/o Intellia Therapeutics, Inc.</w:t>
            </w:r>
          </w:p>
          <w:p>
            <w:pPr>
              <w:pStyle w:val="TableContents"/>
              <w:bidi w:val="0"/>
              <w:jc w:val="left"/>
              <w:rPr>
                <w:rFonts w:ascii="Times New Roman" w:hAnsi="Times New Roman"/>
                <w:color w:val="000000"/>
                <w:sz w:val="24"/>
              </w:rPr>
            </w:pPr>
            <w:r>
              <w:rPr>
                <w:rFonts w:ascii="Times New Roman" w:hAnsi="Times New Roman"/>
                <w:color w:val="000000"/>
                <w:sz w:val="24"/>
              </w:rPr>
              <w:t>130 Brookline Street, Suite 201</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Cambridge, MA 02139</w:t>
            </w:r>
          </w:p>
        </w:tc>
      </w:tr>
      <w:tr>
        <w:trPr/>
        <w:tc>
          <w:tcPr>
            <w:tcW w:w="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Class III</w:t>
            </w:r>
          </w:p>
        </w:tc>
        <w:tc>
          <w:tcPr>
            <w:tcW w:w="288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John M. Leonard, M.D.</w:t>
            </w:r>
          </w:p>
          <w:p>
            <w:pPr>
              <w:pStyle w:val="TableContents"/>
              <w:bidi w:val="0"/>
              <w:jc w:val="left"/>
              <w:rPr>
                <w:rFonts w:ascii="Times New Roman" w:hAnsi="Times New Roman"/>
                <w:color w:val="000000"/>
                <w:sz w:val="24"/>
              </w:rPr>
            </w:pPr>
            <w:r>
              <w:rPr>
                <w:rFonts w:ascii="Times New Roman" w:hAnsi="Times New Roman"/>
                <w:color w:val="000000"/>
                <w:sz w:val="24"/>
              </w:rPr>
              <w:t>Caroline Dorsa</w:t>
            </w:r>
          </w:p>
          <w:p>
            <w:pPr>
              <w:pStyle w:val="TableContents"/>
              <w:bidi w:val="0"/>
              <w:jc w:val="left"/>
              <w:rPr>
                <w:rFonts w:ascii="Times New Roman" w:hAnsi="Times New Roman"/>
                <w:color w:val="000000"/>
                <w:sz w:val="24"/>
              </w:rPr>
            </w:pPr>
            <w:r>
              <w:rPr>
                <w:rFonts w:ascii="Times New Roman" w:hAnsi="Times New Roman"/>
                <w:color w:val="000000"/>
                <w:sz w:val="24"/>
              </w:rPr>
              <w:t>Perry Karsen</w:t>
            </w:r>
          </w:p>
          <w:p>
            <w:pPr>
              <w:pStyle w:val="TableContents"/>
              <w:bidi w:val="0"/>
              <w:spacing w:before="0" w:after="283"/>
              <w:jc w:val="left"/>
              <w:rPr/>
            </w:pPr>
            <w:r>
              <w:rPr/>
              <w:t> </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c/o Intellia Therapeutics, Inc.</w:t>
            </w:r>
          </w:p>
          <w:p>
            <w:pPr>
              <w:pStyle w:val="TableContents"/>
              <w:bidi w:val="0"/>
              <w:jc w:val="left"/>
              <w:rPr>
                <w:rFonts w:ascii="Times New Roman" w:hAnsi="Times New Roman"/>
                <w:color w:val="000000"/>
                <w:sz w:val="24"/>
              </w:rPr>
            </w:pPr>
            <w:r>
              <w:rPr>
                <w:rFonts w:ascii="Times New Roman" w:hAnsi="Times New Roman"/>
                <w:color w:val="000000"/>
                <w:sz w:val="24"/>
              </w:rPr>
              <w:t>130 Brookline Street, Suite 201</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Cambridge, MA 02139</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pStyle w:val="TextBody"/>
        <w:bidi w:val="0"/>
        <w:jc w:val="left"/>
        <w:rPr/>
      </w:pPr>
      <w:r>
        <w:rPr/>
        <w:t>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4.</w:t>
      </w:r>
    </w:p>
    <w:p>
      <w:pPr>
        <w:pStyle w:val="TextBody"/>
        <w:bidi w:val="0"/>
        <w:spacing w:before="120" w:after="120"/>
        <w:jc w:val="left"/>
        <w:rPr/>
      </w:pPr>
      <w:r>
        <w:rPr>
          <w:rFonts w:ascii="Times New Roman" w:hAnsi="Times New Roman"/>
          <w:color w:val="000000"/>
          <w:sz w:val="24"/>
          <w:u w:val="single"/>
        </w:rPr>
        <w:t>Vacancies</w:t>
      </w:r>
      <w:r>
        <w:rPr>
          <w:rFonts w:ascii="Times New Roman" w:hAnsi="Times New Roman"/>
          <w:color w:val="000000"/>
          <w:sz w:val="24"/>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pPr>
      <w:r>
        <w:rPr>
          <w:rFonts w:ascii="Times New Roman" w:hAnsi="Times New Roman"/>
          <w:color w:val="000000"/>
          <w:sz w:val="24"/>
        </w:rPr>
        <w:t xml:space="preserve">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pStyle w:val="TextBody"/>
        <w:bidi w:val="0"/>
        <w:jc w:val="left"/>
        <w:rPr/>
      </w:pPr>
      <w:r>
        <w:rPr/>
        <w:t>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5.</w:t>
      </w:r>
    </w:p>
    <w:p>
      <w:pPr>
        <w:pStyle w:val="TextBody"/>
        <w:bidi w:val="0"/>
        <w:spacing w:before="120" w:after="120"/>
        <w:jc w:val="left"/>
        <w:rPr/>
      </w:pPr>
      <w:r>
        <w:rPr>
          <w:rFonts w:ascii="Times New Roman" w:hAnsi="Times New Roman"/>
          <w:color w:val="000000"/>
          <w:sz w:val="24"/>
          <w:u w:val="single"/>
        </w:rPr>
        <w:t>Removal</w:t>
      </w:r>
      <w:r>
        <w:rPr>
          <w:rFonts w:ascii="Times New Roman" w:hAnsi="Times New Roman"/>
          <w:color w:val="000000"/>
          <w:sz w:val="24"/>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75% or more of the outstanding shares of capital stock then entitled to vote at an election of Directors, voting together as a single class.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VII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LIMITATION OF LIABILITY</w:t>
      </w:r>
    </w:p>
    <w:p>
      <w:pPr>
        <w:pStyle w:val="TextBody"/>
        <w:bidi w:val="0"/>
        <w:jc w:val="left"/>
        <w:rPr>
          <w:rFonts w:ascii="Times New Roman" w:hAnsi="Times New Roman"/>
          <w:color w:val="000000"/>
          <w:sz w:val="24"/>
        </w:rPr>
      </w:pPr>
      <w:r>
        <w:rPr>
          <w:rFonts w:ascii="Times New Roman" w:hAnsi="Times New Roman"/>
          <w:color w:val="000000"/>
          <w:sz w:val="24"/>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pStyle w:val="TextBody"/>
        <w:bidi w:val="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VIII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EXCLUSIVE JURISDICTION OF DELAWARE COURTS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VIII.</w:t>
      </w:r>
    </w:p>
    <w:p>
      <w:pPr>
        <w:pStyle w:val="TextBody"/>
        <w:bidi w:val="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IX</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AMENDMENT OF BY-LAWS</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120"/>
        <w:jc w:val="left"/>
        <w:rPr/>
      </w:pPr>
      <w:r>
        <w:rPr>
          <w:rFonts w:ascii="Times New Roman" w:hAnsi="Times New Roman"/>
          <w:color w:val="000000"/>
          <w:sz w:val="24"/>
          <w:u w:val="single"/>
        </w:rPr>
        <w:t>Amendment by Directors</w:t>
      </w:r>
      <w:r>
        <w:rPr>
          <w:rFonts w:ascii="Times New Roman" w:hAnsi="Times New Roman"/>
          <w:color w:val="000000"/>
          <w:sz w:val="24"/>
        </w:rPr>
        <w:t>. Except as otherwise provided by law, the By</w:t>
        <w:noBreakHyphen/>
        <w:t>laws of the Corporation may be amended or repealed by the Board of Directors by the affirmative vote of a majority of the Directors then in office.</w:t>
      </w:r>
    </w:p>
    <w:p>
      <w:pPr>
        <w:pStyle w:val="TextBody"/>
        <w:bidi w:val="0"/>
        <w:jc w:val="left"/>
        <w:rPr/>
      </w:pPr>
      <w:r>
        <w:rPr/>
        <w:t>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120"/>
        <w:jc w:val="left"/>
        <w:rPr/>
      </w:pPr>
      <w:r>
        <w:rPr>
          <w:rFonts w:ascii="Times New Roman" w:hAnsi="Times New Roman"/>
          <w:color w:val="000000"/>
          <w:sz w:val="24"/>
          <w:u w:val="single"/>
        </w:rPr>
        <w:t>Amendment by Stockholders</w:t>
      </w:r>
      <w:r>
        <w:rPr>
          <w:rFonts w:ascii="Times New Roman" w:hAnsi="Times New Roman"/>
          <w:color w:val="000000"/>
          <w:sz w:val="24"/>
        </w:rPr>
        <w:t>. The By</w:t>
        <w:noBreakHyphen/>
        <w:t xml:space="preserve">laws of the Corporation may be amended or repealed at any annual meeting of stockholders, or special meeting of stockholders called for such purpose, by the affirmative vote of at least 75% of the outstanding shares of capital stock entitled to vote on such amendment or repeal, voting together as a single class;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X</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AMENDMENT OF CERTIFICATE OF INCORPORATION</w:t>
      </w:r>
    </w:p>
    <w:p>
      <w:pPr>
        <w:pStyle w:val="TextBody"/>
        <w:bidi w:val="0"/>
        <w:jc w:val="left"/>
        <w:rPr>
          <w:rFonts w:ascii="Times New Roman" w:hAnsi="Times New Roman"/>
          <w:sz w:val="20"/>
        </w:rPr>
      </w:pPr>
      <w:r>
        <w:rPr>
          <w:rFonts w:ascii="Times New Roman" w:hAnsi="Times New Roman"/>
          <w:color w:val="000000"/>
          <w:sz w:val="24"/>
        </w:rPr>
        <w:t xml:space="preserve">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affirmative vote of not less than 75% of the outstanding shares of capital stock entitled to vote on such amendment or repeal, voting together as a single class, and the affirmative vote of not less than 75% of the outstanding shares of each class entitled to vote thereon as a class, shall</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be required to amend or repeal any provision of Article V, Article VI, Article VII, Article VIII, Article IX or Article X of this Certificate.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[End of Text]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SECOND AMENDED AND RESTATED CERTIFICATE OF INCORPORATION is executed as of this 11</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May, 2016.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INTELLIA THERAPEUTICS,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Nessan Bermingham </w:t>
      </w:r>
    </w:p>
    <w:p>
      <w:pPr>
        <w:pStyle w:val="TextBody"/>
        <w:bidi w:val="0"/>
        <w:jc w:val="left"/>
        <w:rPr>
          <w:rFonts w:ascii="Times New Roman" w:hAnsi="Times New Roman"/>
          <w:color w:val="000000"/>
          <w:sz w:val="24"/>
        </w:rPr>
      </w:pPr>
      <w:r>
        <w:rPr>
          <w:rFonts w:ascii="Times New Roman" w:hAnsi="Times New Roman"/>
          <w:color w:val="000000"/>
          <w:sz w:val="24"/>
        </w:rPr>
        <w:t>Name: Nessan Bermingham</w:t>
      </w:r>
    </w:p>
    <w:p>
      <w:pPr>
        <w:pStyle w:val="TextBody"/>
        <w:bidi w:val="0"/>
        <w:jc w:val="left"/>
        <w:rPr>
          <w:rFonts w:ascii="Times New Roman" w:hAnsi="Times New Roman"/>
          <w:color w:val="000000"/>
          <w:sz w:val="24"/>
        </w:rPr>
      </w:pPr>
      <w:r>
        <w:rPr>
          <w:rFonts w:ascii="Times New Roman" w:hAnsi="Times New Roman"/>
          <w:color w:val="000000"/>
          <w:sz w:val="24"/>
        </w:rPr>
        <w:t>Title: President and 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4"/>
        </w:rPr>
        <w:t>CERTIFICATE OF AMENDMENT</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jc w:val="center"/>
        <w:rPr>
          <w:rFonts w:ascii="Times New Roman" w:hAnsi="Times New Roman"/>
          <w:b/>
          <w:color w:val="000000"/>
          <w:sz w:val="24"/>
        </w:rPr>
      </w:pPr>
      <w:r>
        <w:rPr>
          <w:rFonts w:ascii="Times New Roman" w:hAnsi="Times New Roman"/>
          <w:b/>
          <w:color w:val="000000"/>
          <w:sz w:val="24"/>
        </w:rPr>
        <w:t>SECOND AMENDED AND RESTATED CERTIFICATE OF INCORPORATION</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jc w:val="center"/>
        <w:rPr>
          <w:rFonts w:ascii="Times New Roman" w:hAnsi="Times New Roman"/>
          <w:b/>
          <w:color w:val="000000"/>
          <w:sz w:val="24"/>
        </w:rPr>
      </w:pPr>
      <w:r>
        <w:rPr>
          <w:rFonts w:ascii="Times New Roman" w:hAnsi="Times New Roman"/>
          <w:b/>
          <w:color w:val="000000"/>
          <w:sz w:val="24"/>
        </w:rPr>
        <w:t>INTELLIA THERAPEUTICS, INC.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Intellia Therapeutics, Inc.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a corporation organized and existing under and by virtue of the General Corporation Law of the State of Delaware (the “</w:t>
      </w:r>
      <w:r>
        <w:rPr>
          <w:rFonts w:ascii="Times New Roman" w:hAnsi="Times New Roman"/>
          <w:color w:val="000000"/>
          <w:sz w:val="24"/>
          <w:u w:val="single"/>
        </w:rPr>
        <w:t>General Corporation Law</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DOES HEREBY CERTIFY:</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the name of this corporation is Intellia Therapeutics, Inc. and that this corporation was originally incorporated pursuant to the General Corporation Law on May 7, 2014 under the name AZRN, Inc.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the Board of Directors of the Corporation duly adopted resolutions proposing to amend the Second Amended and Restated Certificate of Incorporation of the Corporation, declaring said amendment to be advisable and in the best interests of the Corporation and its stockholders, and authorizing the appropriate officers of the Corporation to solicit the consent of the stockholders therefor, which resolutions setting forth the proposed amendments are as follows: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4"/>
        </w:rPr>
        <w:t>RESOLVED</w:t>
      </w:r>
      <w:r>
        <w:rPr>
          <w:rFonts w:ascii="Times New Roman" w:hAnsi="Times New Roman"/>
          <w:color w:val="000000"/>
          <w:sz w:val="24"/>
        </w:rPr>
        <w:t>, that the first paragraph of ARTICLE IV of the Second Amended and Restated Certificate of Incorporation is hereby replaced in its entirety to read as follows:</w:t>
      </w:r>
    </w:p>
    <w:p>
      <w:pPr>
        <w:pStyle w:val="TextBody"/>
        <w:bidi w:val="0"/>
        <w:jc w:val="both"/>
        <w:rPr>
          <w:color w:val="000000"/>
        </w:rPr>
      </w:pPr>
      <w:r>
        <w:rPr>
          <w:color w:val="000000"/>
        </w:rPr>
        <w:t>“</w:t>
      </w:r>
      <w:r>
        <w:rPr>
          <w:rFonts w:ascii="Times New Roman" w:hAnsi="Times New Roman"/>
          <w:color w:val="000000"/>
          <w:sz w:val="24"/>
        </w:rPr>
        <w:t>The total number of shares of capital stock which the Corporation shall have authority to issue is 245,000,000 of which (i) two hundred forty million (240,000,000) shares shall be a class designated as common stock, par value $0.0001 per share (the “Common Stock”), and (ii) five million (5,000,000) shares shall be a class designated as undesignated preferred stock, par value $0.0001 per share (the “Undesignated Preferred Stock”).”</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That the foregoing amendment was approved by the holders of the requisite number of shares of the Corporation in accordance with Section 228 of the General Corporation Law.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That said amendment has been duly adopted in accordance with Section 242 of the General Corporation Law. </w:t>
      </w:r>
    </w:p>
    <w:p>
      <w:pPr>
        <w:pStyle w:val="TextBody"/>
        <w:bidi w:val="0"/>
        <w:jc w:val="both"/>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Follow]</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aps/>
          <w:color w:val="000000"/>
          <w:sz w:val="24"/>
        </w:rPr>
        <w:t>In Witness Whereof</w:t>
      </w:r>
      <w:r>
        <w:rPr>
          <w:rFonts w:ascii="Times New Roman" w:hAnsi="Times New Roman"/>
          <w:color w:val="000000"/>
          <w:sz w:val="24"/>
        </w:rPr>
        <w:t>, this Certificate of Amendment has been executed by a duly authorized officer of the Corporation on this 14th day of June, 2023.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John Leonard </w:t>
      </w:r>
    </w:p>
    <w:p>
      <w:pPr>
        <w:pStyle w:val="TextBody"/>
        <w:bidi w:val="0"/>
        <w:jc w:val="left"/>
        <w:rPr>
          <w:rFonts w:ascii="Times New Roman" w:hAnsi="Times New Roman"/>
          <w:color w:val="000000"/>
          <w:sz w:val="24"/>
        </w:rPr>
      </w:pPr>
      <w:r>
        <w:rPr>
          <w:rFonts w:ascii="Times New Roman" w:hAnsi="Times New Roman"/>
          <w:color w:val="000000"/>
          <w:sz w:val="24"/>
        </w:rPr>
        <w:t>Name: John Leonard</w:t>
      </w:r>
    </w:p>
    <w:p>
      <w:pPr>
        <w:pStyle w:val="TextBody"/>
        <w:bidi w:val="0"/>
        <w:jc w:val="left"/>
        <w:rPr>
          <w:rFonts w:ascii="Times New Roman" w:hAnsi="Times New Roman"/>
          <w:color w:val="000000"/>
          <w:sz w:val="24"/>
        </w:rPr>
      </w:pPr>
      <w:r>
        <w:rPr>
          <w:rFonts w:ascii="Times New Roman" w:hAnsi="Times New Roman"/>
          <w:color w:val="000000"/>
          <w:sz w:val="24"/>
        </w:rPr>
        <w:t>Title: President and Chief Executive Officer</w:t>
      </w:r>
    </w:p>
    <w:p>
      <w:pPr>
        <w:pStyle w:val="TextBody"/>
        <w:bidi w:val="0"/>
        <w:jc w:val="left"/>
        <w:rPr/>
      </w:pPr>
      <w:r>
        <w:rPr/>
        <w:t> </w:t>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240"/>
        <w:jc w:val="both"/>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Signature Page to Certificate of Amendment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9" w:name="ntla-ex10_23.htm"/>
      <w:bookmarkStart w:id="40" w:name="ksntlaex10_23"/>
      <w:bookmarkEnd w:id="39"/>
      <w:bookmarkEnd w:id="40"/>
      <w:r>
        <w:rPr>
          <w:rFonts w:ascii="Times New Roman" w:hAnsi="Times New Roman"/>
          <w:b/>
          <w:color w:val="000000"/>
          <w:sz w:val="22"/>
        </w:rPr>
        <w:t>Exhibit 10.23</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INTELLIA THERAPEUTICS, INC.</w:t>
      </w:r>
    </w:p>
    <w:p>
      <w:pPr>
        <w:pStyle w:val="TextBody"/>
        <w:bidi w:val="0"/>
        <w:jc w:val="center"/>
        <w:rPr>
          <w:rFonts w:ascii="Times New Roman" w:hAnsi="Times New Roman"/>
          <w:b/>
          <w:color w:val="000000"/>
          <w:sz w:val="22"/>
        </w:rPr>
      </w:pPr>
      <w:r>
        <w:rPr>
          <w:rFonts w:ascii="Times New Roman" w:hAnsi="Times New Roman"/>
          <w:b/>
          <w:color w:val="000000"/>
          <w:sz w:val="22"/>
        </w:rPr>
        <w:t>SECOND AMENDED RESTATED CORPORATE BONUS PLAN</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I.</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Purpose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 Second Amended and Restated Intellia Therapeutics, Inc. (“Intellia” or the “Company”) Corporate Bonus Plan (the “Plan”) is intended to attract, motivate and retain employees by promoting and rewarding the achievement of key short-term corporate objectives as well as individual performance and to align the interests of the employees and stockholders. As an incentive to meet these objectives, the Company may award a cash-based annual discretionary bonus (“Actual Bonus Awards”) to eligible employees in accordance with this Plan.</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II.</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Plan Year and Participant Eligibility</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jc w:val="left"/>
        <w:rPr>
          <w:rFonts w:ascii="Times New Roman" w:hAnsi="Times New Roman"/>
          <w:b/>
          <w:color w:val="000000"/>
          <w:sz w:val="22"/>
        </w:rPr>
      </w:pPr>
      <w:r>
        <w:rPr>
          <w:rFonts w:ascii="Times New Roman" w:hAnsi="Times New Roman"/>
          <w:b/>
          <w:color w:val="000000"/>
          <w:sz w:val="22"/>
        </w:rPr>
        <w:t>Plan Year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“Plan Year” is the annual performance period from January 1 to December 31; provided that the Plan’s terms will apply from the start of a Plan Year through the date on which the Actual Bonus Awards for the applicable Plan Year are paid, if at all.</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rFonts w:ascii="Times New Roman" w:hAnsi="Times New Roman"/>
          <w:b/>
          <w:color w:val="000000"/>
          <w:sz w:val="22"/>
        </w:rPr>
      </w:pPr>
      <w:r>
        <w:rPr>
          <w:rFonts w:ascii="Times New Roman" w:hAnsi="Times New Roman"/>
          <w:b/>
          <w:color w:val="000000"/>
          <w:sz w:val="22"/>
        </w:rPr>
        <w:t>Participant Eligibility Criteria (the “Criteria”)</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To be considered an eligible participant (“Participant”) for any applicable Plan Year, all Criteria below must be met: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2"/>
        </w:rPr>
        <w:t>The employee is a regular full-time employee of Intellia by or before October 31</w:t>
      </w:r>
      <w:r>
        <w:rPr>
          <w:rFonts w:ascii="Times New Roman" w:hAnsi="Times New Roman"/>
          <w:color w:val="000000"/>
          <w:sz w:val="15"/>
        </w:rPr>
        <w:t>st</w:t>
      </w:r>
      <w:r>
        <w:rPr>
          <w:color w:val="000000"/>
        </w:rPr>
        <w:t xml:space="preserve"> </w:t>
      </w:r>
      <w:r>
        <w:rPr>
          <w:rFonts w:ascii="Times New Roman" w:hAnsi="Times New Roman"/>
          <w:color w:val="000000"/>
          <w:sz w:val="22"/>
        </w:rPr>
        <w:t>of the applicable Plan Year (“Time Criteria”).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employee is regularly scheduled to work at least 30 hours per week.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The Company has not determined the employee is eligible to participate in any similar cash-based incentive bonus program of the Company. </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III.</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 xml:space="preserve">Determination of Target Bonus Award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Participant’s “Target Bonus Award” is the target potential award that a Participant is eligible to earn based on their Annual Base Salary, Target Bonus Percentage, and Time Proration Factor, and is calculated as follows: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Target Bonus Award = Annual Base Salary</w:t>
      </w:r>
      <w:r>
        <w:rPr>
          <w:rFonts w:ascii="Times New Roman" w:hAnsi="Times New Roman"/>
          <w:color w:val="000000"/>
          <w:sz w:val="20"/>
        </w:rPr>
        <w:t xml:space="preserve"> </w:t>
      </w:r>
      <w:r>
        <w:rPr>
          <w:rFonts w:ascii="Times New Roman" w:hAnsi="Times New Roman"/>
          <w:color w:val="000000"/>
          <w:sz w:val="22"/>
        </w:rPr>
        <w:t xml:space="preserve">x </w:t>
      </w:r>
      <w:r>
        <w:rPr>
          <w:rFonts w:ascii="Times New Roman" w:hAnsi="Times New Roman"/>
          <w:b/>
          <w:color w:val="000000"/>
          <w:sz w:val="22"/>
        </w:rPr>
        <w:t>Target Bonus Percentage</w:t>
      </w:r>
      <w:r>
        <w:rPr>
          <w:rFonts w:ascii="Times New Roman" w:hAnsi="Times New Roman"/>
          <w:color w:val="000000"/>
          <w:sz w:val="20"/>
        </w:rPr>
        <w:t xml:space="preserve"> </w:t>
      </w:r>
      <w:r>
        <w:rPr>
          <w:rFonts w:ascii="Times New Roman" w:hAnsi="Times New Roman"/>
          <w:color w:val="000000"/>
          <w:sz w:val="22"/>
        </w:rPr>
        <w:t xml:space="preserve">x </w:t>
      </w:r>
      <w:r>
        <w:rPr>
          <w:rFonts w:ascii="Times New Roman" w:hAnsi="Times New Roman"/>
          <w:b/>
          <w:color w:val="000000"/>
          <w:sz w:val="22"/>
        </w:rPr>
        <w:t>(Time Proration Factor / 12)</w:t>
      </w:r>
    </w:p>
    <w:p>
      <w:pPr>
        <w:pStyle w:val="TextBody"/>
        <w:bidi w:val="0"/>
        <w:jc w:val="center"/>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jc w:val="left"/>
        <w:rPr/>
      </w:pPr>
      <w:r>
        <w:rPr>
          <w:color w:val="000000"/>
        </w:rPr>
        <w:t>“</w:t>
      </w:r>
      <w:r>
        <w:rPr>
          <w:rFonts w:ascii="Times New Roman" w:hAnsi="Times New Roman"/>
          <w:color w:val="000000"/>
          <w:sz w:val="22"/>
        </w:rPr>
        <w:t>Annual Base Salary” is the Participant’s annualized base salary as of December 31</w:t>
      </w:r>
      <w:r>
        <w:rPr>
          <w:rFonts w:ascii="Times New Roman" w:hAnsi="Times New Roman"/>
          <w:color w:val="000000"/>
          <w:sz w:val="15"/>
        </w:rPr>
        <w:t>st</w:t>
      </w:r>
      <w:r>
        <w:rPr>
          <w:color w:val="000000"/>
        </w:rPr>
        <w:t xml:space="preserve"> </w:t>
      </w:r>
      <w:r>
        <w:rPr>
          <w:rFonts w:ascii="Times New Roman" w:hAnsi="Times New Roman"/>
          <w:color w:val="000000"/>
          <w:sz w:val="22"/>
        </w:rPr>
        <w:t>of the Plan Year. The Annual Base Salary does not include any bonus payments, overtime, commissions, unused vacation time, or any other compensation earned or received by the Participant.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pPr>
      <w:r>
        <w:rPr>
          <w:color w:val="000000"/>
        </w:rPr>
        <w:t>“</w:t>
      </w:r>
      <w:r>
        <w:rPr>
          <w:rFonts w:ascii="Times New Roman" w:hAnsi="Times New Roman"/>
          <w:color w:val="000000"/>
          <w:sz w:val="22"/>
        </w:rPr>
        <w:t>Target Bonus Percentage” is the Participant’s target bonus percentage set by the Company for the Participant as of December 31</w:t>
      </w:r>
      <w:r>
        <w:rPr>
          <w:rFonts w:ascii="Times New Roman" w:hAnsi="Times New Roman"/>
          <w:color w:val="000000"/>
          <w:sz w:val="15"/>
        </w:rPr>
        <w:t>st</w:t>
      </w:r>
      <w:r>
        <w:rPr>
          <w:color w:val="000000"/>
        </w:rPr>
        <w:t xml:space="preserve"> </w:t>
      </w:r>
      <w:r>
        <w:rPr>
          <w:rFonts w:ascii="Times New Roman" w:hAnsi="Times New Roman"/>
          <w:color w:val="000000"/>
          <w:sz w:val="22"/>
        </w:rPr>
        <w:t xml:space="preserve">of the Plan Year. </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jc w:val="left"/>
        <w:rPr>
          <w:color w:val="000000"/>
        </w:rPr>
      </w:pPr>
      <w:r>
        <w:rPr>
          <w:color w:val="000000"/>
        </w:rPr>
        <w:t>“</w:t>
      </w:r>
      <w:r>
        <w:rPr>
          <w:rFonts w:ascii="Times New Roman" w:hAnsi="Times New Roman"/>
          <w:color w:val="000000"/>
          <w:sz w:val="22"/>
        </w:rPr>
        <w:t>Time Proration Factor” is the number that expresses the portion of the Plan Year period for which the Participant has met all Criteria, and is calculated as follows:</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Time Proration Factor = Number of full months the Participant met all Criteria in the Plan Year + (Total number of days that the Participant met all Criteria except Time Criteria in the month they first met all Criteria / Total number of days in the month that the Participant first met the Criteria)</w:t>
      </w:r>
    </w:p>
    <w:p>
      <w:pPr>
        <w:pStyle w:val="TextBody"/>
        <w:bidi w:val="0"/>
        <w:jc w:val="center"/>
        <w:rPr>
          <w:rFonts w:ascii="Calibri;sans-serif" w:hAnsi="Calibri;sans-serif"/>
          <w:color w:val="2B579A"/>
          <w:sz w:val="22"/>
        </w:rPr>
      </w:pPr>
      <w:r>
        <w:rPr>
          <w:rFonts w:ascii="Calibri;sans-serif" w:hAnsi="Calibri;sans-serif"/>
          <w:color w:val="2B579A"/>
          <w:sz w:val="22"/>
        </w:rPr>
        <w:t>1</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 Time Proration Factor shall be rounded up to the next hundredth.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If a Participant is (i) hired between November 1 and December 31 of a Plan Year (e.g. did not meet Time Criteria but did meet the other Criteria in that Plan Year) and (ii) meets all Criteria in the </w:t>
      </w:r>
      <w:r>
        <w:rPr>
          <w:rFonts w:ascii="Times New Roman" w:hAnsi="Times New Roman"/>
          <w:i/>
          <w:color w:val="000000"/>
          <w:sz w:val="22"/>
        </w:rPr>
        <w:t>following</w:t>
      </w:r>
      <w:r>
        <w:rPr>
          <w:rFonts w:ascii="Times New Roman" w:hAnsi="Times New Roman"/>
          <w:color w:val="000000"/>
          <w:sz w:val="20"/>
        </w:rPr>
        <w:t xml:space="preserve"> </w:t>
      </w:r>
      <w:r>
        <w:rPr>
          <w:rFonts w:ascii="Times New Roman" w:hAnsi="Times New Roman"/>
          <w:color w:val="000000"/>
          <w:sz w:val="22"/>
        </w:rPr>
        <w:t xml:space="preserve">Plan Year, additional time will be added to the Participant’s Time Proration Factor when calculating the Target Bonus Award for the </w:t>
      </w:r>
      <w:r>
        <w:rPr>
          <w:rFonts w:ascii="Times New Roman" w:hAnsi="Times New Roman"/>
          <w:i/>
          <w:color w:val="000000"/>
          <w:sz w:val="22"/>
        </w:rPr>
        <w:t>following</w:t>
      </w:r>
      <w:r>
        <w:rPr>
          <w:rFonts w:ascii="Times New Roman" w:hAnsi="Times New Roman"/>
          <w:color w:val="000000"/>
          <w:sz w:val="20"/>
        </w:rPr>
        <w:t xml:space="preserve"> </w:t>
      </w:r>
      <w:r>
        <w:rPr>
          <w:rFonts w:ascii="Times New Roman" w:hAnsi="Times New Roman"/>
          <w:color w:val="000000"/>
          <w:sz w:val="22"/>
        </w:rPr>
        <w:t>Plan Year, as shown in the third example in the table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Examples of Time Proration Factor calculations: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7"/>
        <w:gridCol w:w="8668"/>
      </w:tblGrid>
      <w:tr>
        <w:trPr/>
        <w:tc>
          <w:tcPr>
            <w:tcW w:w="1537" w:type="dxa"/>
            <w:tcBorders/>
            <w:vAlign w:val="center"/>
          </w:tcPr>
          <w:p>
            <w:pPr>
              <w:pStyle w:val="TableContents"/>
              <w:bidi w:val="0"/>
              <w:spacing w:before="0" w:after="283"/>
              <w:jc w:val="left"/>
              <w:rPr>
                <w:sz w:val="4"/>
                <w:szCs w:val="4"/>
              </w:rPr>
            </w:pPr>
            <w:r>
              <w:rPr>
                <w:sz w:val="4"/>
                <w:szCs w:val="4"/>
              </w:rPr>
            </w:r>
          </w:p>
        </w:tc>
        <w:tc>
          <w:tcPr>
            <w:tcW w:w="8668" w:type="dxa"/>
            <w:tcBorders/>
            <w:vAlign w:val="center"/>
          </w:tcPr>
          <w:p>
            <w:pPr>
              <w:pStyle w:val="TableContents"/>
              <w:bidi w:val="0"/>
              <w:spacing w:before="0" w:after="283"/>
              <w:jc w:val="left"/>
              <w:rPr>
                <w:sz w:val="4"/>
                <w:szCs w:val="4"/>
              </w:rPr>
            </w:pPr>
            <w:r>
              <w:rPr>
                <w:sz w:val="4"/>
                <w:szCs w:val="4"/>
              </w:rPr>
            </w:r>
          </w:p>
        </w:tc>
      </w:tr>
      <w:tr>
        <w:trPr/>
        <w:tc>
          <w:tcPr>
            <w:tcW w:w="153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Date Eligibility Criteria Met</w:t>
            </w:r>
          </w:p>
        </w:tc>
        <w:tc>
          <w:tcPr>
            <w:tcW w:w="866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Time Proration Factor Calculation</w:t>
            </w:r>
          </w:p>
        </w:tc>
      </w:tr>
      <w:tr>
        <w:trPr/>
        <w:tc>
          <w:tcPr>
            <w:tcW w:w="15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1, 2023</w:t>
            </w:r>
          </w:p>
        </w:tc>
        <w:tc>
          <w:tcPr>
            <w:tcW w:w="86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w:t>
            </w:r>
          </w:p>
        </w:tc>
      </w:tr>
      <w:tr>
        <w:trPr/>
        <w:tc>
          <w:tcPr>
            <w:tcW w:w="15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20, 2023</w:t>
            </w:r>
          </w:p>
        </w:tc>
        <w:tc>
          <w:tcPr>
            <w:tcW w:w="86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 months + (12 days in July / 31 days in July) = 5.39</w:t>
            </w:r>
          </w:p>
        </w:tc>
      </w:tr>
      <w:tr>
        <w:trPr/>
        <w:tc>
          <w:tcPr>
            <w:tcW w:w="15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November 16, 2023</w:t>
            </w:r>
          </w:p>
        </w:tc>
        <w:tc>
          <w:tcPr>
            <w:tcW w:w="8668"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center"/>
              <w:rPr>
                <w:rFonts w:ascii="Times New Roman" w:hAnsi="Times New Roman"/>
                <w:color w:val="000000"/>
                <w:sz w:val="22"/>
              </w:rPr>
            </w:pPr>
            <w:r>
              <w:rPr>
                <w:rFonts w:ascii="Times New Roman" w:hAnsi="Times New Roman"/>
                <w:color w:val="000000"/>
                <w:sz w:val="22"/>
              </w:rPr>
              <w:t>13 months + (15 days in November / 30 days in November) = 13.5</w:t>
            </w:r>
          </w:p>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Note: Under this example, the employee would not be eligible for a bonus award for the 2023 Plan Year. As described in Section 3(c) above, the Time Proration Factor would be used to calculate the Participant’s Target Bonus Award for the 2024 Plan Year, provided the employee meets the Criteria for a bonus award for the 2024 Plan Year.</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IV.</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 xml:space="preserve">Determination of Eligible Bonus Award and Actual Bonus Award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Each Participant’s “Eligible Bonus Award” shall be calculated as follows: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Eligible Bonus Award = Target Bonus Award</w:t>
      </w:r>
      <w:r>
        <w:rPr>
          <w:rFonts w:ascii="Times New Roman" w:hAnsi="Times New Roman"/>
          <w:color w:val="000000"/>
          <w:sz w:val="20"/>
        </w:rPr>
        <w:t xml:space="preserve"> </w:t>
      </w:r>
      <w:r>
        <w:rPr>
          <w:rFonts w:ascii="Times New Roman" w:hAnsi="Times New Roman"/>
          <w:color w:val="000000"/>
          <w:sz w:val="22"/>
        </w:rPr>
        <w:t xml:space="preserve">x </w:t>
      </w:r>
      <w:r>
        <w:rPr>
          <w:rFonts w:ascii="Times New Roman" w:hAnsi="Times New Roman"/>
          <w:b/>
          <w:color w:val="000000"/>
          <w:sz w:val="22"/>
        </w:rPr>
        <w:t>Individual Achievement</w:t>
      </w:r>
      <w:r>
        <w:rPr>
          <w:rFonts w:ascii="Times New Roman" w:hAnsi="Times New Roman"/>
          <w:color w:val="000000"/>
          <w:sz w:val="20"/>
        </w:rPr>
        <w:t xml:space="preserve"> </w:t>
      </w:r>
      <w:r>
        <w:rPr>
          <w:rFonts w:ascii="Times New Roman" w:hAnsi="Times New Roman"/>
          <w:color w:val="000000"/>
          <w:sz w:val="22"/>
        </w:rPr>
        <w:t xml:space="preserve">x </w:t>
      </w:r>
      <w:r>
        <w:rPr>
          <w:rFonts w:ascii="Times New Roman" w:hAnsi="Times New Roman"/>
          <w:b/>
          <w:color w:val="000000"/>
          <w:sz w:val="22"/>
        </w:rPr>
        <w:t>Corporate Achievement</w:t>
      </w:r>
    </w:p>
    <w:p>
      <w:pPr>
        <w:pStyle w:val="TextBody"/>
        <w:bidi w:val="0"/>
        <w:jc w:val="center"/>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jc w:val="left"/>
        <w:rPr>
          <w:rFonts w:ascii="Times New Roman" w:hAnsi="Times New Roman"/>
          <w:b/>
          <w:color w:val="000000"/>
          <w:sz w:val="22"/>
        </w:rPr>
      </w:pPr>
      <w:r>
        <w:rPr>
          <w:rFonts w:ascii="Times New Roman" w:hAnsi="Times New Roman"/>
          <w:b/>
          <w:color w:val="000000"/>
          <w:sz w:val="22"/>
        </w:rPr>
        <w:t>Individual Achievement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For each Plan Year, the Company</w:t>
      </w:r>
      <w:r>
        <w:rPr>
          <w:rFonts w:ascii="Times New Roman" w:hAnsi="Times New Roman"/>
          <w:color w:val="000000"/>
          <w:sz w:val="20"/>
        </w:rPr>
        <w:t xml:space="preserve"> </w:t>
      </w:r>
      <w:r>
        <w:rPr>
          <w:rFonts w:ascii="Times New Roman" w:hAnsi="Times New Roman"/>
          <w:color w:val="000000"/>
          <w:sz w:val="22"/>
        </w:rPr>
        <w:t>shall determine, in its sole discretion, each Participant’s individual performance goals (“Individual Goals”), except as set forth in Section 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Except as set forth in Section V, for each Plan Year, the Company shall determine the Participant’s level of achievement of their Individual Goals (“Individual Achievement”) by considering the Participant’s performance relative to their Individual Goals, as well as other factors related to the Company’s core values and policies and the expected competencies and skills for the Participant’s job. Partial or excess achievement may be determined for each goal, at the discretion of the Company, the Board of Directors of the Company (“the Board”), or the Compensation and Talent Development Committee of the Board (the “Committee”), as applicable.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Calibri;sans-serif" w:hAnsi="Calibri;sans-serif"/>
          <w:color w:val="2B579A"/>
          <w:sz w:val="22"/>
        </w:rPr>
      </w:pPr>
      <w:r>
        <w:rPr>
          <w:rFonts w:ascii="Calibri;sans-serif" w:hAnsi="Calibri;sans-serif"/>
          <w:color w:val="2B579A"/>
          <w:sz w:val="22"/>
        </w:rPr>
        <w:t>2</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The Company may introduce tools to guide the decision-making regarding Individual Achievement including, but not limited to, using a rating system such as a 9-box grid, rating distribution guidelines, and Individual Achievement guideline ranges for each type of rating.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If a Participant is not deemed to have reached at least 50% for their Individual Achievement, their Individual Achievement will generally be set to 0% for purposes of calculating their Actual Bonus Award.</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rFonts w:ascii="Times New Roman" w:hAnsi="Times New Roman"/>
          <w:b/>
          <w:color w:val="000000"/>
          <w:sz w:val="22"/>
        </w:rPr>
      </w:pPr>
      <w:r>
        <w:rPr>
          <w:rFonts w:ascii="Times New Roman" w:hAnsi="Times New Roman"/>
          <w:b/>
          <w:color w:val="000000"/>
          <w:sz w:val="22"/>
        </w:rPr>
        <w:t>Corporate Achievement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For purposes of this Plan, “Corporate Achievement” for each Plan Year shall be determined by the Committee in its sole discretion. In determining the Corporate Achievement, the Committee may consider any relevant factors it deems appropriate, including, but not limited to, the Company’s overall actual performance for the Plan Year and any corporate goals set and approved by the Board for such Plan Year.</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jc w:val="left"/>
        <w:rPr>
          <w:rFonts w:ascii="Times New Roman" w:hAnsi="Times New Roman"/>
          <w:b/>
          <w:color w:val="000000"/>
          <w:sz w:val="22"/>
        </w:rPr>
      </w:pPr>
      <w:r>
        <w:rPr>
          <w:rFonts w:ascii="Times New Roman" w:hAnsi="Times New Roman"/>
          <w:b/>
          <w:color w:val="000000"/>
          <w:sz w:val="22"/>
        </w:rPr>
        <w:t>Non-Executive Bonus Pool and Committee Discretion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Committee shall determine the amount of the Non-Executive Bonus Pool for each Plan Year. The “Non-Executive Bonus Pool” will be calculated as the sum of all Target Bonus Awards of Participants (excluding the Chief Executive Office (“CEO”), executive officers, and Senior Management (as the term is defined by the Committee’s Charter) of the Company) that the Company expects to be eligible to receive an Actual Bonus Award in the Plan Year. The Committee may, in its sole discretion, increase or decrease the amount of the Non-Executive Bonus Pool.</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d.</w:t>
      </w:r>
    </w:p>
    <w:p>
      <w:pPr>
        <w:pStyle w:val="TextBody"/>
        <w:bidi w:val="0"/>
        <w:jc w:val="left"/>
        <w:rPr>
          <w:rFonts w:ascii="Times New Roman" w:hAnsi="Times New Roman"/>
          <w:b/>
          <w:color w:val="000000"/>
          <w:sz w:val="22"/>
        </w:rPr>
      </w:pPr>
      <w:r>
        <w:rPr>
          <w:rFonts w:ascii="Times New Roman" w:hAnsi="Times New Roman"/>
          <w:b/>
          <w:color w:val="000000"/>
          <w:sz w:val="22"/>
        </w:rPr>
        <w:t xml:space="preserve">Determination of Actual Bonus Awards and Company Discretion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Except as set forth in Section V, the Company shall determine, on an individual basis for each Participant and in the Company’s sole discretion, the amount of the Actual Bonus Award to be paid to each Participant (excluding the CEO, executive officers, and Senior Management of the Company) for each Plan Year.</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V.</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Executive Bonus Awards and Committee Discretion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As provided by the Company’s by-laws, the Committee’s Charter or any other policies or resolutions adopted by the Company:</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jc w:val="left"/>
        <w:rPr>
          <w:rFonts w:ascii="Times New Roman" w:hAnsi="Times New Roman"/>
          <w:color w:val="000000"/>
          <w:sz w:val="22"/>
        </w:rPr>
      </w:pPr>
      <w:r>
        <w:rPr>
          <w:rFonts w:ascii="Times New Roman" w:hAnsi="Times New Roman"/>
          <w:color w:val="000000"/>
          <w:sz w:val="22"/>
        </w:rPr>
        <w:t xml:space="preserve">For each Plan Year, the Board or the Committee shall determine, in its sole discretion: (i) the Individual Goals of the CEO, executive officers, and Senior Management, as applicable and as provided by the Company’s by-laws and/or the Committee’s Charter; and (ii) the level of achievement of the Individual Goals (“Individual Achievement”) of the CEO, executive officers, and Senior Management by considering performance relative to their Individual Goals, as well as other factors as determined by the Board or Committee, as applicable, in its sole discretion. Partial or excess achievement may be determined for each goal, at the sole discretion of the Committee or Board, as applicable.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Committee or Board may use the Company’s tools, such as performance ratings at its discretion, in determining the Individual Achievement of the CEO, executive officers, and Senior Management of the Company, as applicable.</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 xml:space="preserve">The Board or Committee shall determine, in its sole discretion, the Actual Bonus Awards to be paid to the CEO, executive officers, and Senior Management of the Company, as applicable. </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VI.</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Impact to Participant Status</w:t>
      </w:r>
    </w:p>
    <w:p>
      <w:pPr>
        <w:pStyle w:val="TextBody"/>
        <w:bidi w:val="0"/>
        <w:jc w:val="left"/>
        <w:rPr/>
      </w:pPr>
      <w:r>
        <w:rPr/>
        <w:t> </w:t>
      </w:r>
    </w:p>
    <w:p>
      <w:pPr>
        <w:pStyle w:val="TextBody"/>
        <w:bidi w:val="0"/>
        <w:jc w:val="center"/>
        <w:rPr>
          <w:rFonts w:ascii="Calibri;sans-serif" w:hAnsi="Calibri;sans-serif"/>
          <w:color w:val="2B579A"/>
          <w:sz w:val="22"/>
        </w:rPr>
      </w:pPr>
      <w:r>
        <w:rPr>
          <w:rFonts w:ascii="Calibri;sans-serif" w:hAnsi="Calibri;sans-serif"/>
          <w:color w:val="2B579A"/>
          <w:sz w:val="22"/>
        </w:rPr>
        <w:t>3</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jc w:val="left"/>
        <w:rPr>
          <w:rFonts w:ascii="Times New Roman" w:hAnsi="Times New Roman"/>
          <w:b/>
          <w:color w:val="000000"/>
          <w:sz w:val="22"/>
        </w:rPr>
      </w:pPr>
      <w:r>
        <w:rPr>
          <w:rFonts w:ascii="Times New Roman" w:hAnsi="Times New Roman"/>
          <w:b/>
          <w:color w:val="000000"/>
          <w:sz w:val="22"/>
        </w:rPr>
        <w:t>Terminations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Except as otherwise provided in this Plan, to be paid an Actual Bonus Award, a Participant generally must remain employed at the Company through the date on which the Actual Bonus Awards are paid for the applicable Plan Year (the “Payout Date”). This applies to all terminations, whether voluntary or involuntary (except in the case of death, where an employee may still be eligible to receive an Actual Bonus Award).</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rFonts w:ascii="Times New Roman" w:hAnsi="Times New Roman"/>
          <w:b/>
          <w:color w:val="000000"/>
          <w:sz w:val="22"/>
        </w:rPr>
      </w:pPr>
      <w:r>
        <w:rPr>
          <w:rFonts w:ascii="Times New Roman" w:hAnsi="Times New Roman"/>
          <w:b/>
          <w:color w:val="000000"/>
          <w:sz w:val="22"/>
        </w:rPr>
        <w:t>Changes in Employment Status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 Participant for any part of the Plan Year between January 1 and October 31, who (i) loses eligibility on or before December 31 but (ii) remains an employee of the Company as of the Payout Date may receive a prorated Actual Bonus Award for such Plan Year. In such cases, the Time Proration Factor shall be calculated based on the portion of the Plan Year when the Participant met all Criteria (see below for an example calculation).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24"/>
        <w:gridCol w:w="4681"/>
      </w:tblGrid>
      <w:tr>
        <w:trPr/>
        <w:tc>
          <w:tcPr>
            <w:tcW w:w="5524"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52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Scenario</w:t>
            </w:r>
          </w:p>
        </w:tc>
        <w:tc>
          <w:tcPr>
            <w:tcW w:w="4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Time Proration Factor Calculation</w:t>
            </w:r>
          </w:p>
        </w:tc>
      </w:tr>
      <w:tr>
        <w:trPr/>
        <w:tc>
          <w:tcPr>
            <w:tcW w:w="552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Employee was a regular full-time employee working 30 hours or more per week from January 1 – August 31, 2023. On September 1, this employee reduced their schedule to 20 hours per week and became classified as a regular </w:t>
            </w:r>
            <w:r>
              <w:rPr>
                <w:rFonts w:ascii="Times New Roman" w:hAnsi="Times New Roman"/>
                <w:i/>
                <w:color w:val="000000"/>
                <w:sz w:val="22"/>
              </w:rPr>
              <w:t>part-time</w:t>
            </w:r>
            <w:r>
              <w:rPr>
                <w:rFonts w:ascii="Times New Roman" w:hAnsi="Times New Roman"/>
                <w:color w:val="000000"/>
                <w:sz w:val="22"/>
              </w:rPr>
              <w:t xml:space="preserve"> employee and was still employed in 2024 on the Payout Date for the 2023 Plan Year. </w:t>
            </w:r>
          </w:p>
        </w:tc>
        <w:tc>
          <w:tcPr>
            <w:tcW w:w="468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pPr>
            <w:r>
              <w:rPr/>
              <w:t> </w:t>
            </w:r>
          </w:p>
          <w:p>
            <w:pPr>
              <w:pStyle w:val="TableContents"/>
              <w:bidi w:val="0"/>
              <w:jc w:val="center"/>
              <w:rPr>
                <w:rFonts w:ascii="Times New Roman" w:hAnsi="Times New Roman"/>
                <w:color w:val="000000"/>
                <w:sz w:val="22"/>
              </w:rPr>
            </w:pPr>
            <w:r>
              <w:rPr>
                <w:rFonts w:ascii="Times New Roman" w:hAnsi="Times New Roman"/>
                <w:color w:val="000000"/>
                <w:sz w:val="22"/>
              </w:rPr>
              <w:t>8</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Note: Under this example, this employee was still employed on the Payout Date, but did not meet all Criteria for the entire Plan Year. This employee would still be eligible to receive an Actual Bonus Award for the 2023 Plan Year based on the time period when the employee was an eligible Participant. </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jc w:val="left"/>
        <w:rPr>
          <w:rFonts w:ascii="Times New Roman" w:hAnsi="Times New Roman"/>
          <w:b/>
          <w:color w:val="000000"/>
          <w:sz w:val="22"/>
        </w:rPr>
      </w:pPr>
      <w:r>
        <w:rPr>
          <w:rFonts w:ascii="Times New Roman" w:hAnsi="Times New Roman"/>
          <w:b/>
          <w:color w:val="000000"/>
          <w:sz w:val="22"/>
        </w:rPr>
        <w:t>Leaves of Absence</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w:t>
      </w:r>
    </w:p>
    <w:p>
      <w:pPr>
        <w:pStyle w:val="TextBody"/>
        <w:bidi w:val="0"/>
        <w:jc w:val="left"/>
        <w:rPr/>
      </w:pPr>
      <w:r>
        <w:rPr>
          <w:rFonts w:ascii="Times New Roman" w:hAnsi="Times New Roman"/>
          <w:i/>
          <w:color w:val="000000"/>
          <w:sz w:val="22"/>
        </w:rPr>
        <w:t>Short-Term Disability, Federal Medical Leave Act (“FMLA”), and other state-specific family and medical leave laws</w:t>
      </w:r>
      <w:r>
        <w:rPr>
          <w:rFonts w:ascii="Times New Roman" w:hAnsi="Times New Roman"/>
          <w:color w:val="000000"/>
          <w:sz w:val="22"/>
        </w:rPr>
        <w:t>. Participants will continue to earn time toward their Time Proration Factor and be considered eligible to receive an Actual Bonus Award during any leave of absence based on short term disability, FMLA, and state-specific family and medical leave laws, consistent with the applicable Company policies.</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ii.</w:t>
      </w:r>
    </w:p>
    <w:p>
      <w:pPr>
        <w:pStyle w:val="TextBody"/>
        <w:bidi w:val="0"/>
        <w:jc w:val="left"/>
        <w:rPr/>
      </w:pPr>
      <w:r>
        <w:rPr>
          <w:rFonts w:ascii="Times New Roman" w:hAnsi="Times New Roman"/>
          <w:i/>
          <w:color w:val="000000"/>
          <w:sz w:val="22"/>
        </w:rPr>
        <w:t>Long-Term Disability (“LTD”), including LTD combined with Workers’ Compensation</w:t>
      </w:r>
      <w:r>
        <w:rPr>
          <w:rFonts w:ascii="Times New Roman" w:hAnsi="Times New Roman"/>
          <w:color w:val="000000"/>
          <w:sz w:val="22"/>
        </w:rPr>
        <w:t>. Participants who are on LTD in excess of any applicable federal or state mandated family and medical leave allowances will not be eligible for an Actual Bonus Award for the period of the LTD, and their Time Proration Factor will be adjusted accordingly.</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iii.</w:t>
      </w:r>
    </w:p>
    <w:p>
      <w:pPr>
        <w:pStyle w:val="TextBody"/>
        <w:bidi w:val="0"/>
        <w:jc w:val="left"/>
        <w:rPr/>
      </w:pPr>
      <w:r>
        <w:rPr>
          <w:rFonts w:ascii="Times New Roman" w:hAnsi="Times New Roman"/>
          <w:i/>
          <w:color w:val="000000"/>
          <w:sz w:val="22"/>
        </w:rPr>
        <w:t>Personal Unpaid Leaves of Absence.</w:t>
      </w:r>
      <w:r>
        <w:rPr>
          <w:color w:val="000000"/>
        </w:rPr>
        <w:t xml:space="preserve"> </w:t>
      </w:r>
      <w:r>
        <w:rPr>
          <w:rFonts w:ascii="Times New Roman" w:hAnsi="Times New Roman"/>
          <w:color w:val="000000"/>
          <w:sz w:val="22"/>
        </w:rPr>
        <w:t>Participants who are on a personal unpaid leave of absence not covered by paragraphs (i) and (ii) above will not be eligible for an Actual Bonus Award for the period of the personal unpaid leave of absence, and their Time Proration Factor will be adjusted accordingly.</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d.</w:t>
      </w:r>
    </w:p>
    <w:p>
      <w:pPr>
        <w:pStyle w:val="TextBody"/>
        <w:bidi w:val="0"/>
        <w:jc w:val="left"/>
        <w:rPr>
          <w:rFonts w:ascii="Times New Roman" w:hAnsi="Times New Roman"/>
          <w:b/>
          <w:color w:val="000000"/>
          <w:sz w:val="22"/>
        </w:rPr>
      </w:pPr>
      <w:r>
        <w:rPr>
          <w:rFonts w:ascii="Times New Roman" w:hAnsi="Times New Roman"/>
          <w:b/>
          <w:color w:val="000000"/>
          <w:sz w:val="22"/>
        </w:rPr>
        <w:t>Retirement</w:t>
      </w:r>
    </w:p>
    <w:p>
      <w:pPr>
        <w:pStyle w:val="TextBody"/>
        <w:bidi w:val="0"/>
        <w:jc w:val="left"/>
        <w:rPr/>
      </w:pPr>
      <w:r>
        <w:rPr/>
        <w:t> </w:t>
      </w:r>
    </w:p>
    <w:p>
      <w:pPr>
        <w:pStyle w:val="TextBody"/>
        <w:bidi w:val="0"/>
        <w:jc w:val="center"/>
        <w:rPr>
          <w:rFonts w:ascii="Calibri;sans-serif" w:hAnsi="Calibri;sans-serif"/>
          <w:color w:val="2B579A"/>
          <w:sz w:val="22"/>
        </w:rPr>
      </w:pPr>
      <w:r>
        <w:rPr>
          <w:rFonts w:ascii="Calibri;sans-serif" w:hAnsi="Calibri;sans-serif"/>
          <w:color w:val="2B579A"/>
          <w:sz w:val="22"/>
        </w:rPr>
        <w:t>4</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A Participant who retires in accordance with the Company’s Retirement Policy for Equity Awards is eligible for a prorated Actual Bonus Award for the Plan Year that contains such Participant’s Retirement Date (as defined in the Company’s Retirement Policy for Equity Awards).</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VII.</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Payout Date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Payout Date for Actual Bonus Awards will be on or before March 15th of the calendar year following the applicable Plan Year. Each Participant’s Actual Bonus Award, if any, will be calculated by the Company and paid to each Participant who remains employed by the Company as of the Payout Date.</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VIII.</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Termination, Suspension or Modification and Plan Administration</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jc w:val="left"/>
        <w:rPr>
          <w:rFonts w:ascii="Times New Roman" w:hAnsi="Times New Roman"/>
          <w:color w:val="000000"/>
          <w:sz w:val="22"/>
        </w:rPr>
      </w:pPr>
      <w:r>
        <w:rPr>
          <w:rFonts w:ascii="Times New Roman" w:hAnsi="Times New Roman"/>
          <w:color w:val="000000"/>
          <w:sz w:val="22"/>
        </w:rPr>
        <w:t>The Committee may terminate, suspend or modify (and if suspended, reinstate with or without modification) all or any part of the Plan at any time, with or without notice to Participants. The Committee has sole authority and discretion to administer and/or interpret the Plan. Notwithstanding anything herein to the contrary, the Committee has sole authority and discretion to determine the Actual Bonus Award(s) to be paid, or that no Actual Bonus Award(s) shall be paid, to Participant(s) hereunder for a particular Plan Year, notwithstanding the level of Corporate Achievement and/or Individual Achievement for such Plan Year.</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The Committee reserves the exclusive right to determine eligibility to participate in this Plan and to interpret and modify all applicable terms and conditions, including eligibility criteria, performance objectives and payment conditions, for the Company’s employees. The Committee delegates to each of the Company’s CEO, Chief Financial Officer, Chief Human Resources Officer, General Counsel and any executive officer the authority to, in their discretion, administer, and determine eligibility to participate in, the Plan and interpret all applicable terms and conditions for employees who are not executive officers or Senior Management of the Company. The determinations and interpretations of the Committee and its delegates will be final.</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jc w:val="left"/>
        <w:rPr>
          <w:rFonts w:ascii="Times New Roman" w:hAnsi="Times New Roman"/>
          <w:color w:val="000000"/>
          <w:sz w:val="22"/>
        </w:rPr>
      </w:pPr>
      <w:r>
        <w:rPr>
          <w:rFonts w:ascii="Times New Roman" w:hAnsi="Times New Roman"/>
          <w:color w:val="000000"/>
          <w:sz w:val="22"/>
        </w:rPr>
        <w:t>All Actual Bonus Awards are paid from the Company’s general assets. No trust, account or other separate collection of amounts will be established for the payment of Actual Bonus Awards under the Plan. Actual Bonus Awards are unfunded obligations of the Company, so if and when an Actual Bonus Award becomes due, a Participant’s rights to payment are no greater than the rights of a general unsecured creditor.</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IX.</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Section 409A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It is intended that any payments under this Plan be exempt from Section 409A of the Internal Revenue Code of 1986, and the Treasury Regulations and IRS guidance thereunder (collectively referred to as “Section 409A”), as “short-term deferrals” (as defined in Section 409A), and the Plan shall be administered, interpreted, and construed consistent with such intent.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X.</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Withholdings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shall withhold from any Actual Bonus Award any federal, state and local income, employment, other similar taxes, or elective deferrals as it may be required to withhold pursuant to any applicable law, regulation, or Company policy.</w:t>
      </w:r>
    </w:p>
    <w:p>
      <w:pPr>
        <w:pStyle w:val="TextBody"/>
        <w:bidi w:val="0"/>
        <w:jc w:val="left"/>
        <w:rPr/>
      </w:pPr>
      <w:r>
        <w:rPr/>
        <w:t> </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XI.</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 xml:space="preserve">At-Will Employment </w:t>
      </w:r>
    </w:p>
    <w:p>
      <w:pPr>
        <w:pStyle w:val="TextBody"/>
        <w:bidi w:val="0"/>
        <w:jc w:val="left"/>
        <w:rPr/>
      </w:pPr>
      <w:r>
        <w:rPr/>
        <w:t> </w:t>
      </w:r>
    </w:p>
    <w:p>
      <w:pPr>
        <w:pStyle w:val="TextBody"/>
        <w:bidi w:val="0"/>
        <w:jc w:val="center"/>
        <w:rPr>
          <w:rFonts w:ascii="Calibri;sans-serif" w:hAnsi="Calibri;sans-serif"/>
          <w:color w:val="2B579A"/>
          <w:sz w:val="22"/>
        </w:rPr>
      </w:pPr>
      <w:r>
        <w:rPr>
          <w:rFonts w:ascii="Calibri;sans-serif" w:hAnsi="Calibri;sans-serif"/>
          <w:color w:val="2B579A"/>
          <w:sz w:val="22"/>
        </w:rPr>
        <w:t>5</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This document sets forth the terms of the Plan and is not intended to be a contract or employment agreement between any Participant and the Company. Nothing in this Plan shall alter the at-will nature of any Participant’s employment. Participants are free to resign at any time, and for any or no reason. Similarly, subject to the terms of any individual employment agreement between a Participant and the Company, the Company is free to terminate its employment relationship with any Participant at any time, with or without cause.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Effective Date: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Version: 1.0</w:t>
      </w:r>
    </w:p>
    <w:p>
      <w:pPr>
        <w:pStyle w:val="TextBody"/>
        <w:bidi w:val="0"/>
        <w:jc w:val="center"/>
        <w:rPr>
          <w:rFonts w:ascii="Calibri;sans-serif" w:hAnsi="Calibri;sans-serif"/>
          <w:color w:val="2B579A"/>
          <w:sz w:val="22"/>
        </w:rPr>
      </w:pPr>
      <w:r>
        <w:rPr>
          <w:rFonts w:ascii="Calibri;sans-serif" w:hAnsi="Calibri;sans-serif"/>
          <w:color w:val="2B579A"/>
          <w:sz w:val="22"/>
        </w:rPr>
        <w:t>6</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ntla-ex21_1.htm"/>
      <w:bookmarkStart w:id="42" w:name="ksntlaex21_1"/>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Subsidiaries of the Registrant</w:t>
      </w:r>
    </w:p>
    <w:tbl>
      <w:tblPr>
        <w:tblW w:w="5188" w:type="dxa"/>
        <w:jc w:val="left"/>
        <w:tblInd w:w="0" w:type="dxa"/>
        <w:tblLayout w:type="fixed"/>
        <w:tblCellMar>
          <w:top w:w="28" w:type="dxa"/>
          <w:left w:w="28" w:type="dxa"/>
          <w:bottom w:w="28" w:type="dxa"/>
          <w:right w:w="28" w:type="dxa"/>
        </w:tblCellMar>
      </w:tblPr>
      <w:tblGrid>
        <w:gridCol w:w="2041"/>
        <w:gridCol w:w="146"/>
        <w:gridCol w:w="300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Entity</w:t>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State of Incorporation of Organization</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Intellia Securities Corp.</w:t>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ntla-ex23_1.htm"/>
      <w:bookmarkStart w:id="44" w:name="ksntlaex23_1"/>
      <w:bookmarkEnd w:id="43"/>
      <w:bookmarkEnd w:id="4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incorporation by reference in Registration Statement No. 333-275740 on Form S-3 and Registration Statement Nos. 333-211200, 333-218511, 333-229900, 333-236714, 333-253562, 333-262997, and 333-269947 on Form S-8 of our reports dated February 22, 2024, relating to the financial statements of Intellia Therapeutics, Inc., and the effectiveness of Intellia Therapeutics, Inc.’s internal control over financial reporting appearing in this Annual Report on Form 10-K for the year ended December 31, 2023.</w:t>
      </w:r>
    </w:p>
    <w:p>
      <w:pPr>
        <w:pStyle w:val="TextBody"/>
        <w:bidi w:val="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Deloitte &amp; Touche LLP</w:t>
            </w:r>
          </w:p>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Boston, Massachusetts</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22, 2024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ntla-ex31_1.htm"/>
      <w:bookmarkStart w:id="46" w:name="ksntlaex31_1"/>
      <w:bookmarkEnd w:id="45"/>
      <w:bookmarkEnd w:id="4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 13a-14(a) / RULE 15d-14(a) OF THE SECURITIES EXCHANGE ACT OF 1934, AS AMENDED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John M. Leonard, M.D.,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Annual Report on Form 10-K of Intellia Therapeutics,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Date: February 22, 2024 </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John M. Leonard</w:t>
            </w:r>
          </w:p>
        </w:tc>
      </w:tr>
      <w:tr>
        <w:trPr/>
        <w:tc>
          <w:tcPr>
            <w:tcW w:w="3226"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John M. Leonard, M.D.</w:t>
            </w:r>
          </w:p>
          <w:p>
            <w:pPr>
              <w:pStyle w:val="TableContents"/>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ntla-ex31_2.htm"/>
      <w:bookmarkStart w:id="48" w:name="ksntlaex31_2"/>
      <w:bookmarkEnd w:id="47"/>
      <w:bookmarkEnd w:id="4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FINANCIAL OFFICER PURSUANT TO</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RULE 13a-14(a) / RULE 15d-14(a)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Glenn Goddard,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Annual Report on Form 10-K of Intellia Therapeutics,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Date: February 22, 2024 </w:t>
      </w:r>
    </w:p>
    <w:p>
      <w:pPr>
        <w:pStyle w:val="TextBody"/>
        <w:bidi w:val="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Glenn Goddard</w:t>
            </w:r>
          </w:p>
        </w:tc>
      </w:tr>
      <w:tr>
        <w:trPr/>
        <w:tc>
          <w:tcPr>
            <w:tcW w:w="4156"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Glenn Goddard</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ntla-ex32_1.htm"/>
      <w:bookmarkStart w:id="50" w:name="ksntlaex32_1"/>
      <w:bookmarkEnd w:id="49"/>
      <w:bookmarkEnd w:id="5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CERTIFICATIONS OF CEO AND CFO PURSUANT TO 18 U.S.C. SECTION 1350,</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AS ADOPTED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SECTION 906 OF THE SARBANES-OXLEY ACT OF 2002</w:t>
      </w:r>
      <w:r>
        <w:rPr>
          <w:rFonts w:ascii="Times New Roman" w:hAnsi="Times New Roman"/>
          <w:caps/>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this Annual Report on Form 10-K of Intellia Therapeutics, Inc. (the “Company”) for the period ended December 31, 2023, as filed with the Securities and Exchange Commission on the date hereof (the “Report”), each of the undersigned, John M. Leonard, M.D., President and Chief Executive Officer (Principal Executive Officer) of the Company, and Glenn Goddard, Executive Vice President, Chief Financial Officer (Principal Financial and Accounting Officer) of the Company, hereby certifies, pursuant to 18 U.S.C. (section) 1350, as adopted pursuant to (section) 906 of the Sarbanes-Oxley Act of 2002, that to the best of his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February 22, 2024</w:t>
      </w:r>
    </w:p>
    <w:tbl>
      <w:tblPr>
        <w:tblW w:w="4302" w:type="dxa"/>
        <w:jc w:val="left"/>
        <w:tblInd w:w="0" w:type="dxa"/>
        <w:tblLayout w:type="fixed"/>
        <w:tblCellMar>
          <w:top w:w="28" w:type="dxa"/>
          <w:left w:w="28" w:type="dxa"/>
          <w:bottom w:w="28" w:type="dxa"/>
          <w:right w:w="28" w:type="dxa"/>
        </w:tblCellMar>
      </w:tblPr>
      <w:tblGrid>
        <w:gridCol w:w="411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John M. Leonard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4111"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John M. Leonard, M.D.</w:t>
            </w:r>
          </w:p>
          <w:p>
            <w:pPr>
              <w:pStyle w:val="TableContents"/>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vAlign w:val="center"/>
          </w:tcPr>
          <w:p>
            <w:pPr>
              <w:pStyle w:val="TableContents"/>
              <w:bidi w:val="0"/>
              <w:spacing w:before="0" w:after="283"/>
              <w:jc w:val="both"/>
              <w:rPr/>
            </w:pPr>
            <w:r>
              <w:rPr/>
              <w:t> </w:t>
            </w:r>
          </w:p>
        </w:tc>
      </w:tr>
      <w:tr>
        <w:trPr/>
        <w:tc>
          <w:tcPr>
            <w:tcW w:w="4111"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r>
      <w:tr>
        <w:trPr/>
        <w:tc>
          <w:tcPr>
            <w:tcW w:w="41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Glenn Goddard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4111"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Glenn Goddard</w:t>
            </w:r>
          </w:p>
          <w:p>
            <w:pPr>
              <w:pStyle w:val="TableContents"/>
              <w:bidi w:val="0"/>
              <w:jc w:val="both"/>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and Accounting Officer)</w:t>
            </w:r>
          </w:p>
        </w:tc>
        <w:tc>
          <w:tcPr>
            <w:tcW w:w="191" w:type="dxa"/>
            <w:tcBorders/>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1" w:name="ntla-ex97_1.htm"/>
      <w:bookmarkStart w:id="52" w:name="ksntlaex97_1"/>
      <w:bookmarkEnd w:id="51"/>
      <w:bookmarkEnd w:id="52"/>
      <w:r>
        <w:rPr/>
        <w:t> </w:t>
      </w:r>
      <w:r>
        <w:br w:type="page"/>
      </w:r>
    </w:p>
    <w:p>
      <w:pPr>
        <w:pStyle w:val="TextBody"/>
        <w:bidi w:val="0"/>
        <w:spacing w:before="76" w:after="283"/>
        <w:jc w:val="right"/>
        <w:rPr>
          <w:rFonts w:ascii="Times New Roman" w:hAnsi="Times New Roman"/>
          <w:b/>
          <w:color w:val="000000"/>
          <w:sz w:val="24"/>
        </w:rPr>
      </w:pPr>
      <w:r>
        <w:rPr>
          <w:rFonts w:ascii="Times New Roman" w:hAnsi="Times New Roman"/>
          <w:b/>
          <w:color w:val="000000"/>
          <w:sz w:val="24"/>
        </w:rPr>
        <w:t>EXHIBIT 97.1</w:t>
      </w:r>
    </w:p>
    <w:p>
      <w:pPr>
        <w:pStyle w:val="TextBody"/>
        <w:bidi w:val="0"/>
        <w:spacing w:before="76" w:after="283"/>
        <w:jc w:val="left"/>
        <w:rPr>
          <w:rFonts w:ascii="Times New Roman" w:hAnsi="Times New Roman"/>
          <w:b/>
          <w:color w:val="000000"/>
          <w:sz w:val="24"/>
        </w:rPr>
      </w:pPr>
      <w:r>
        <w:rPr>
          <w:rFonts w:ascii="Times New Roman" w:hAnsi="Times New Roman"/>
          <w:b/>
          <w:color w:val="000000"/>
          <w:sz w:val="24"/>
        </w:rPr>
        <w:t>INTELLIA THERAPEUTICS, INC. COMPENSATION RECOVERY POLICY</w:t>
      </w:r>
    </w:p>
    <w:p>
      <w:pPr>
        <w:pStyle w:val="TextBody"/>
        <w:bidi w:val="0"/>
        <w:spacing w:before="240" w:after="283"/>
        <w:jc w:val="left"/>
        <w:rPr>
          <w:rFonts w:ascii="Times New Roman" w:hAnsi="Times New Roman"/>
          <w:sz w:val="20"/>
        </w:rPr>
      </w:pPr>
      <w:r>
        <w:rPr>
          <w:rFonts w:ascii="Times New Roman" w:hAnsi="Times New Roman"/>
          <w:color w:val="000000"/>
          <w:sz w:val="24"/>
        </w:rPr>
        <w:t>The Board of Directors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of Intellia Therapeutics, Inc. (collectively with its subsidiaries,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has adopted this Compensation Recovery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xml:space="preserve">) to provide guidelines and requirements for the recovery of Erroneously Awarded Compensation (as defined below). All capitalized terms used in this Policy shall have the meaning ascribed thereto in this Policy, including </w:t>
      </w:r>
      <w:r>
        <w:rPr>
          <w:rFonts w:ascii="Times New Roman" w:hAnsi="Times New Roman"/>
          <w:color w:val="000000"/>
          <w:sz w:val="24"/>
          <w:u w:val="single"/>
        </w:rPr>
        <w:t>Section VII</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276" w:after="283"/>
        <w:jc w:val="left"/>
        <w:rPr>
          <w:rFonts w:ascii="Times New Roman" w:hAnsi="Times New Roman"/>
          <w:b/>
          <w:color w:val="000000"/>
          <w:sz w:val="24"/>
        </w:rPr>
      </w:pPr>
      <w:r>
        <w:rPr>
          <w:rFonts w:ascii="Times New Roman" w:hAnsi="Times New Roman"/>
          <w:b/>
          <w:color w:val="000000"/>
          <w:sz w:val="24"/>
        </w:rPr>
        <w:t>I.</w:t>
      </w:r>
    </w:p>
    <w:p>
      <w:pPr>
        <w:pStyle w:val="TextBody"/>
        <w:bidi w:val="0"/>
        <w:spacing w:before="276" w:after="283"/>
        <w:jc w:val="left"/>
        <w:rPr>
          <w:rFonts w:ascii="Times New Roman" w:hAnsi="Times New Roman"/>
          <w:b/>
          <w:color w:val="000000"/>
          <w:sz w:val="24"/>
        </w:rPr>
      </w:pPr>
      <w:r>
        <w:rPr>
          <w:rFonts w:ascii="Times New Roman" w:hAnsi="Times New Roman"/>
          <w:b/>
          <w:color w:val="000000"/>
          <w:sz w:val="24"/>
        </w:rPr>
        <w:t>INTRODUCTION, PURPOSE &amp; SCOPE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pPr>
      <w:r>
        <w:rPr>
          <w:rFonts w:ascii="Times New Roman" w:hAnsi="Times New Roman"/>
          <w:b/>
          <w:color w:val="000000"/>
          <w:sz w:val="24"/>
          <w:u w:val="single"/>
        </w:rPr>
        <w:t>Introduction</w:t>
      </w:r>
      <w:r>
        <w:rPr>
          <w:rFonts w:ascii="Times New Roman" w:hAnsi="Times New Roman"/>
          <w:color w:val="000000"/>
          <w:sz w:val="24"/>
        </w:rPr>
        <w:t>. The Policy sets forth the circumstances and procedures under which the Company shall recover Erroneously Awarded Compensation from current and former Executive Officers of the Company in accordance with rules issued by the United States Securities and Exchange Commission (the “</w:t>
      </w:r>
      <w:r>
        <w:rPr>
          <w:rFonts w:ascii="Times New Roman" w:hAnsi="Times New Roman"/>
          <w:color w:val="000000"/>
          <w:sz w:val="24"/>
          <w:u w:val="single"/>
        </w:rPr>
        <w:t>SEC</w:t>
      </w:r>
      <w:r>
        <w:rPr>
          <w:color w:val="000000"/>
        </w:rPr>
        <w:t>”</w:t>
      </w:r>
      <w:r>
        <w:rPr>
          <w:rFonts w:ascii="Times New Roman" w:hAnsi="Times New Roman"/>
          <w:color w:val="000000"/>
          <w:sz w:val="24"/>
        </w:rPr>
        <w:t>) under the Securities Exchange Act of 1934 (the “</w:t>
      </w:r>
      <w:r>
        <w:rPr>
          <w:rFonts w:ascii="Times New Roman" w:hAnsi="Times New Roman"/>
          <w:color w:val="000000"/>
          <w:sz w:val="24"/>
          <w:u w:val="single"/>
        </w:rPr>
        <w:t>Exchange Act</w:t>
      </w:r>
      <w:r>
        <w:rPr>
          <w:color w:val="000000"/>
        </w:rPr>
        <w:t>”</w:t>
      </w:r>
      <w:r>
        <w:rPr>
          <w:rFonts w:ascii="Times New Roman" w:hAnsi="Times New Roman"/>
          <w:color w:val="000000"/>
          <w:sz w:val="24"/>
        </w:rPr>
        <w:t>) and The Nasdaq Stock Market LLC (the “</w:t>
      </w:r>
      <w:r>
        <w:rPr>
          <w:rFonts w:ascii="Times New Roman" w:hAnsi="Times New Roman"/>
          <w:color w:val="000000"/>
          <w:sz w:val="24"/>
          <w:u w:val="single"/>
        </w:rPr>
        <w:t>Exchange</w:t>
      </w:r>
      <w:r>
        <w:rPr>
          <w:color w:val="000000"/>
        </w:rPr>
        <w:t>”</w:t>
      </w: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pPr>
      <w:r>
        <w:rPr>
          <w:rFonts w:ascii="Times New Roman" w:hAnsi="Times New Roman"/>
          <w:b/>
          <w:color w:val="000000"/>
          <w:sz w:val="24"/>
          <w:u w:val="single"/>
        </w:rPr>
        <w:t>Purpose</w:t>
      </w:r>
      <w:r>
        <w:rPr>
          <w:rFonts w:ascii="Times New Roman" w:hAnsi="Times New Roman"/>
          <w:color w:val="000000"/>
          <w:sz w:val="24"/>
        </w:rPr>
        <w:t>. The Company has adopted this Policy to recover Erroneously Awarded Compensation from current and former Executive Officers of the Company.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0"/>
        <w:jc w:val="left"/>
        <w:rPr/>
      </w:pPr>
      <w:r>
        <w:rPr>
          <w:rFonts w:ascii="Times New Roman" w:hAnsi="Times New Roman"/>
          <w:b/>
          <w:color w:val="000000"/>
          <w:sz w:val="24"/>
          <w:u w:val="single"/>
        </w:rPr>
        <w:t>Scope</w:t>
      </w:r>
      <w:r>
        <w:rPr>
          <w:rFonts w:ascii="Times New Roman" w:hAnsi="Times New Roman"/>
          <w:color w:val="000000"/>
          <w:sz w:val="24"/>
        </w:rPr>
        <w:t>. This Policy is applicable to all Covered Persons.</w:t>
      </w:r>
    </w:p>
    <w:p>
      <w:pPr>
        <w:pStyle w:val="TextBody"/>
        <w:bidi w:val="0"/>
        <w:spacing w:before="275" w:after="283"/>
        <w:jc w:val="left"/>
        <w:rPr>
          <w:rFonts w:ascii="Times New Roman" w:hAnsi="Times New Roman"/>
          <w:b/>
          <w:color w:val="000000"/>
          <w:sz w:val="24"/>
        </w:rPr>
      </w:pPr>
      <w:r>
        <w:rPr>
          <w:rFonts w:ascii="Times New Roman" w:hAnsi="Times New Roman"/>
          <w:b/>
          <w:color w:val="000000"/>
          <w:sz w:val="24"/>
        </w:rPr>
        <w:t>II.</w:t>
      </w:r>
    </w:p>
    <w:p>
      <w:pPr>
        <w:pStyle w:val="TextBody"/>
        <w:bidi w:val="0"/>
        <w:spacing w:before="275" w:after="283"/>
        <w:jc w:val="left"/>
        <w:rPr>
          <w:rFonts w:ascii="Times New Roman" w:hAnsi="Times New Roman"/>
          <w:b/>
          <w:color w:val="000000"/>
          <w:sz w:val="24"/>
        </w:rPr>
      </w:pPr>
      <w:r>
        <w:rPr>
          <w:rFonts w:ascii="Times New Roman" w:hAnsi="Times New Roman"/>
          <w:b/>
          <w:color w:val="000000"/>
          <w:sz w:val="24"/>
        </w:rPr>
        <w:t>COMPENSATION RECOVERY REQUIREMENT</w:t>
      </w:r>
    </w:p>
    <w:p>
      <w:pPr>
        <w:pStyle w:val="TextBody"/>
        <w:bidi w:val="0"/>
        <w:spacing w:before="2"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 w:after="283"/>
        <w:jc w:val="left"/>
        <w:rPr/>
      </w:pPr>
      <w:r>
        <w:rPr>
          <w:rFonts w:ascii="Times New Roman" w:hAnsi="Times New Roman"/>
          <w:b/>
          <w:color w:val="000000"/>
          <w:sz w:val="24"/>
          <w:u w:val="single"/>
        </w:rPr>
        <w:t>Policy Requirement</w:t>
      </w:r>
      <w:r>
        <w:rPr>
          <w:rFonts w:ascii="Times New Roman" w:hAnsi="Times New Roman"/>
          <w:color w:val="000000"/>
          <w:sz w:val="24"/>
        </w:rPr>
        <w:t>. 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pPr>
      <w:r>
        <w:rPr>
          <w:rFonts w:ascii="Times New Roman" w:hAnsi="Times New Roman"/>
          <w:b/>
          <w:color w:val="000000"/>
          <w:sz w:val="24"/>
          <w:u w:val="single"/>
        </w:rPr>
        <w:t>Exception to Policy Requirement</w:t>
      </w:r>
      <w:r>
        <w:rPr>
          <w:rFonts w:ascii="Times New Roman" w:hAnsi="Times New Roman"/>
          <w:color w:val="000000"/>
          <w:sz w:val="24"/>
        </w:rPr>
        <w:t>. The Company may elect not to recover Erroneously Awarded Compensation pursuant to this Policy if the Compensation and Talent Development Committee of the Board (the “</w:t>
      </w:r>
      <w:r>
        <w:rPr>
          <w:rFonts w:ascii="Times New Roman" w:hAnsi="Times New Roman"/>
          <w:color w:val="000000"/>
          <w:sz w:val="24"/>
          <w:u w:val="single"/>
        </w:rPr>
        <w:t>Committee</w:t>
      </w:r>
      <w:r>
        <w:rPr>
          <w:color w:val="000000"/>
        </w:rPr>
        <w:t>”</w:t>
      </w:r>
      <w:r>
        <w:rPr>
          <w:rFonts w:ascii="Times New Roman" w:hAnsi="Times New Roman"/>
          <w:color w:val="000000"/>
          <w:sz w:val="24"/>
        </w:rPr>
        <w:t>)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b/>
          <w:color w:val="000000"/>
          <w:sz w:val="24"/>
          <w:u w:val="single"/>
        </w:rPr>
        <w:t>Tax Considerations</w:t>
      </w:r>
      <w:r>
        <w:rPr>
          <w:rFonts w:ascii="Times New Roman" w:hAnsi="Times New Roman"/>
          <w:color w:val="000000"/>
          <w:sz w:val="24"/>
        </w:rPr>
        <w:t>. 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pStyle w:val="TextBody"/>
        <w:bidi w:val="0"/>
        <w:jc w:val="left"/>
        <w:rPr/>
      </w:pPr>
      <w:r>
        <w:rPr/>
        <w:t> </w:t>
      </w:r>
    </w:p>
    <w:p>
      <w:pPr>
        <w:pStyle w:val="TextBody"/>
        <w:bidi w:val="0"/>
        <w:spacing w:before="10"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76" w:after="283"/>
        <w:jc w:val="left"/>
        <w:rPr>
          <w:rFonts w:ascii="Times New Roman" w:hAnsi="Times New Roman"/>
          <w:b/>
          <w:color w:val="000000"/>
          <w:sz w:val="24"/>
        </w:rPr>
      </w:pPr>
      <w:r>
        <w:rPr>
          <w:rFonts w:ascii="Times New Roman" w:hAnsi="Times New Roman"/>
          <w:b/>
          <w:color w:val="000000"/>
          <w:sz w:val="24"/>
        </w:rPr>
        <w:t>III.</w:t>
      </w:r>
    </w:p>
    <w:p>
      <w:pPr>
        <w:pStyle w:val="TextBody"/>
        <w:bidi w:val="0"/>
        <w:spacing w:before="76" w:after="283"/>
        <w:jc w:val="left"/>
        <w:rPr>
          <w:rFonts w:ascii="Times New Roman" w:hAnsi="Times New Roman"/>
          <w:b/>
          <w:color w:val="000000"/>
          <w:sz w:val="24"/>
        </w:rPr>
      </w:pPr>
      <w:r>
        <w:rPr>
          <w:rFonts w:ascii="Times New Roman" w:hAnsi="Times New Roman"/>
          <w:b/>
          <w:color w:val="000000"/>
          <w:sz w:val="24"/>
        </w:rPr>
        <w:t>METHOD OF COMPENSATION RECOVERY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Committee shall determine, in its sole discretion, the method for recovering Erroneously Awarded Compensation hereunder, which may include, without limitation, any one or more of the following:</w:t>
      </w:r>
    </w:p>
    <w:p>
      <w:pPr>
        <w:pStyle w:val="TextBody"/>
        <w:bidi w:val="0"/>
        <w:spacing w:before="4"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4" w:after="283"/>
        <w:jc w:val="left"/>
        <w:rPr>
          <w:rFonts w:ascii="Times New Roman" w:hAnsi="Times New Roman"/>
          <w:color w:val="000000"/>
          <w:sz w:val="24"/>
        </w:rPr>
      </w:pPr>
      <w:r>
        <w:rPr>
          <w:rFonts w:ascii="Times New Roman" w:hAnsi="Times New Roman"/>
          <w:color w:val="000000"/>
          <w:sz w:val="24"/>
        </w:rPr>
        <w:t>requiring reimbursement of cash Incentive-Based Compensation previously paid;</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seeking recovery of any gain realized on the vesting, exercise, settlement, sale, transfer or other disposition of any equity-based awards;</w:t>
      </w:r>
    </w:p>
    <w:p>
      <w:pPr>
        <w:pStyle w:val="TextBody"/>
        <w:bidi w:val="0"/>
        <w:spacing w:before="5"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5" w:after="283"/>
        <w:jc w:val="left"/>
        <w:rPr>
          <w:rFonts w:ascii="Times New Roman" w:hAnsi="Times New Roman"/>
          <w:color w:val="000000"/>
          <w:sz w:val="24"/>
        </w:rPr>
      </w:pPr>
      <w:r>
        <w:rPr>
          <w:rFonts w:ascii="Times New Roman" w:hAnsi="Times New Roman"/>
          <w:color w:val="000000"/>
          <w:sz w:val="24"/>
        </w:rPr>
        <w:t>cancelling or rescinding some or all outstanding vested or unvested equity- based awards;</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adjusting or withholding from unpaid compensation or other set-off;</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cancelling or setting-off against planned future grants of equity-based awards; and/or</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vi.</w:t>
      </w:r>
    </w:p>
    <w:p>
      <w:pPr>
        <w:pStyle w:val="TextBody"/>
        <w:bidi w:val="0"/>
        <w:jc w:val="left"/>
        <w:rPr>
          <w:rFonts w:ascii="Times New Roman" w:hAnsi="Times New Roman"/>
          <w:color w:val="000000"/>
          <w:sz w:val="24"/>
        </w:rPr>
      </w:pPr>
      <w:r>
        <w:rPr>
          <w:rFonts w:ascii="Times New Roman" w:hAnsi="Times New Roman"/>
          <w:color w:val="000000"/>
          <w:sz w:val="24"/>
        </w:rPr>
        <w:t>any other method permitted by applicable law or contract. Notwithstanding the foregoing, a Covered Person will be deemed to have satisfied such person’s obligation to return Erroneously Awarded Compensation to the</w:t>
      </w:r>
    </w:p>
    <w:p>
      <w:pPr>
        <w:pStyle w:val="TextBody"/>
        <w:bidi w:val="0"/>
        <w:jc w:val="left"/>
        <w:rPr>
          <w:rFonts w:ascii="Times New Roman" w:hAnsi="Times New Roman"/>
          <w:color w:val="000000"/>
          <w:sz w:val="24"/>
        </w:rPr>
      </w:pPr>
      <w:r>
        <w:rPr>
          <w:rFonts w:ascii="Times New Roman" w:hAnsi="Times New Roman"/>
          <w:color w:val="000000"/>
          <w:sz w:val="24"/>
        </w:rPr>
        <w:t>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pPr>
      <w:r>
        <w:rPr>
          <w:rFonts w:ascii="Times New Roman" w:hAnsi="Times New Roman"/>
          <w:b/>
          <w:color w:val="000000"/>
          <w:sz w:val="24"/>
          <w:u w:val="single"/>
        </w:rPr>
        <w:t>No Indemnification for Repayment of Erroneously Awarded Compensation</w:t>
      </w:r>
      <w:r>
        <w:rPr>
          <w:rFonts w:ascii="Times New Roman" w:hAnsi="Times New Roman"/>
          <w:color w:val="000000"/>
          <w:sz w:val="24"/>
        </w:rPr>
        <w:t>. Notwithstanding anything to the contrary set forth in any agreement with, or the organizational documents of, the Company, including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pStyle w:val="TextBody"/>
        <w:bidi w:val="0"/>
        <w:spacing w:before="272" w:after="283"/>
        <w:jc w:val="left"/>
        <w:rPr>
          <w:rFonts w:ascii="Times New Roman" w:hAnsi="Times New Roman"/>
          <w:b/>
          <w:color w:val="000000"/>
          <w:sz w:val="24"/>
        </w:rPr>
      </w:pPr>
      <w:r>
        <w:rPr>
          <w:rFonts w:ascii="Times New Roman" w:hAnsi="Times New Roman"/>
          <w:b/>
          <w:color w:val="000000"/>
          <w:sz w:val="24"/>
        </w:rPr>
        <w:t>IV.</w:t>
      </w:r>
    </w:p>
    <w:p>
      <w:pPr>
        <w:pStyle w:val="TextBody"/>
        <w:bidi w:val="0"/>
        <w:spacing w:before="272" w:after="283"/>
        <w:jc w:val="left"/>
        <w:rPr>
          <w:rFonts w:ascii="Times New Roman" w:hAnsi="Times New Roman"/>
          <w:b/>
          <w:color w:val="000000"/>
          <w:sz w:val="24"/>
        </w:rPr>
      </w:pPr>
      <w:r>
        <w:rPr>
          <w:rFonts w:ascii="Times New Roman" w:hAnsi="Times New Roman"/>
          <w:b/>
          <w:color w:val="000000"/>
          <w:sz w:val="24"/>
        </w:rPr>
        <w:t>POLICY INTERPRETATION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pPr>
      <w:r>
        <w:rPr>
          <w:rFonts w:ascii="Times New Roman" w:hAnsi="Times New Roman"/>
          <w:b/>
          <w:color w:val="000000"/>
          <w:sz w:val="24"/>
          <w:u w:val="single"/>
        </w:rPr>
        <w:t>Interpretation</w:t>
      </w:r>
      <w:r>
        <w:rPr>
          <w:rFonts w:ascii="Times New Roman" w:hAnsi="Times New Roman"/>
          <w:color w:val="000000"/>
          <w:sz w:val="24"/>
        </w:rPr>
        <w:t>. 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w:t>
      </w:r>
    </w:p>
    <w:p>
      <w:pPr>
        <w:pStyle w:val="TextBody"/>
        <w:bidi w:val="0"/>
        <w:spacing w:before="2"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 w:after="283"/>
        <w:jc w:val="left"/>
        <w:rPr/>
      </w:pPr>
      <w:r>
        <w:rPr>
          <w:rFonts w:ascii="Times New Roman" w:hAnsi="Times New Roman"/>
          <w:b/>
          <w:color w:val="000000"/>
          <w:sz w:val="24"/>
          <w:u w:val="single"/>
        </w:rPr>
        <w:t>Additional Recovery</w:t>
      </w:r>
      <w:r>
        <w:rPr>
          <w:rFonts w:ascii="Times New Roman" w:hAnsi="Times New Roman"/>
          <w:color w:val="000000"/>
          <w:sz w:val="24"/>
        </w:rPr>
        <w:t>.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0"/>
        <w:jc w:val="left"/>
        <w:rPr/>
      </w:pPr>
      <w:r>
        <w:rPr>
          <w:rFonts w:ascii="Times New Roman" w:hAnsi="Times New Roman"/>
          <w:b/>
          <w:color w:val="000000"/>
          <w:sz w:val="24"/>
          <w:u w:val="single"/>
        </w:rPr>
        <w:t>Amendment of Policy</w:t>
      </w:r>
      <w:r>
        <w:rPr>
          <w:rFonts w:ascii="Times New Roman" w:hAnsi="Times New Roman"/>
          <w:color w:val="000000"/>
          <w:sz w:val="24"/>
        </w:rPr>
        <w:t>. This Policy shall be deemed to be automatically amended, as of the date the Applicable Rules become effective with respect to the Company, to the extent required for this Policy to comply with the Applicable Rules.</w:t>
      </w:r>
    </w:p>
    <w:p>
      <w:pPr>
        <w:pStyle w:val="TextBody"/>
        <w:bidi w:val="0"/>
        <w:spacing w:before="74" w:after="283"/>
        <w:jc w:val="left"/>
        <w:rPr>
          <w:rFonts w:ascii="Times New Roman" w:hAnsi="Times New Roman"/>
          <w:b/>
          <w:color w:val="000000"/>
          <w:sz w:val="24"/>
        </w:rPr>
      </w:pPr>
      <w:r>
        <w:rPr>
          <w:rFonts w:ascii="Times New Roman" w:hAnsi="Times New Roman"/>
          <w:b/>
          <w:color w:val="000000"/>
          <w:sz w:val="24"/>
        </w:rPr>
        <w:t>V.</w:t>
      </w:r>
    </w:p>
    <w:p>
      <w:pPr>
        <w:pStyle w:val="TextBody"/>
        <w:bidi w:val="0"/>
        <w:spacing w:before="74" w:after="283"/>
        <w:jc w:val="left"/>
        <w:rPr>
          <w:rFonts w:ascii="Times New Roman" w:hAnsi="Times New Roman"/>
          <w:b/>
          <w:color w:val="000000"/>
          <w:sz w:val="24"/>
        </w:rPr>
      </w:pPr>
      <w:r>
        <w:rPr>
          <w:rFonts w:ascii="Times New Roman" w:hAnsi="Times New Roman"/>
          <w:b/>
          <w:color w:val="000000"/>
          <w:sz w:val="24"/>
        </w:rPr>
        <w:t>POLICY ADMINISTRATION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 xml:space="preserve">This Policy shall be administered by the Committee. The Committee shall have such powers and authorities related to the administration of this Policy as are consistent </w:t>
      </w:r>
    </w:p>
    <w:p>
      <w:pPr>
        <w:pStyle w:val="TextBody"/>
        <w:bidi w:val="0"/>
        <w:jc w:val="left"/>
        <w:rPr/>
      </w:pPr>
      <w:r>
        <w:rPr/>
        <w:t> </w:t>
      </w:r>
    </w:p>
    <w:p>
      <w:pPr>
        <w:pStyle w:val="TextBody"/>
        <w:bidi w:val="0"/>
        <w:spacing w:before="10" w:after="283"/>
        <w:ind w:left="4320" w:right="0" w:firstLine="72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w:t>
      </w:r>
    </w:p>
    <w:p>
      <w:pPr>
        <w:pStyle w:val="TextBody"/>
        <w:bidi w:val="0"/>
        <w:spacing w:before="2"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 w:after="283"/>
        <w:jc w:val="left"/>
        <w:rPr>
          <w:rFonts w:ascii="Times New Roman" w:hAnsi="Times New Roman"/>
          <w:color w:val="000000"/>
          <w:sz w:val="24"/>
        </w:rPr>
      </w:pPr>
      <w:r>
        <w:rPr>
          <w:rFonts w:ascii="Times New Roman" w:hAnsi="Times New Roman"/>
          <w:color w:val="000000"/>
          <w:sz w:val="24"/>
        </w:rPr>
        <w:t>The interpretation and construction by the Committee of any provision of this Policy and all determinations made by the Committee under this policy shall be final, binding and conclusive.</w:t>
      </w:r>
    </w:p>
    <w:p>
      <w:pPr>
        <w:pStyle w:val="TextBody"/>
        <w:bidi w:val="0"/>
        <w:spacing w:before="276" w:after="283"/>
        <w:jc w:val="left"/>
        <w:rPr>
          <w:rFonts w:ascii="Times New Roman" w:hAnsi="Times New Roman"/>
          <w:b/>
          <w:color w:val="000000"/>
          <w:sz w:val="24"/>
        </w:rPr>
      </w:pPr>
      <w:r>
        <w:rPr>
          <w:rFonts w:ascii="Times New Roman" w:hAnsi="Times New Roman"/>
          <w:b/>
          <w:color w:val="000000"/>
          <w:sz w:val="24"/>
        </w:rPr>
        <w:t>VI.</w:t>
      </w:r>
    </w:p>
    <w:p>
      <w:pPr>
        <w:pStyle w:val="TextBody"/>
        <w:bidi w:val="0"/>
        <w:spacing w:before="276" w:after="283"/>
        <w:jc w:val="left"/>
        <w:rPr>
          <w:rFonts w:ascii="Times New Roman" w:hAnsi="Times New Roman"/>
          <w:b/>
          <w:color w:val="000000"/>
          <w:sz w:val="24"/>
        </w:rPr>
      </w:pPr>
      <w:r>
        <w:rPr>
          <w:rFonts w:ascii="Times New Roman" w:hAnsi="Times New Roman"/>
          <w:b/>
          <w:color w:val="000000"/>
          <w:sz w:val="24"/>
        </w:rPr>
        <w:t>DEFINITIONS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pPr>
      <w:r>
        <w:rPr>
          <w:color w:val="000000"/>
        </w:rPr>
        <w:t>“</w:t>
      </w:r>
      <w:r>
        <w:rPr>
          <w:rFonts w:ascii="Times New Roman" w:hAnsi="Times New Roman"/>
          <w:color w:val="000000"/>
          <w:sz w:val="24"/>
          <w:u w:val="single"/>
        </w:rPr>
        <w:t>Applicable Recovery Period</w:t>
      </w:r>
      <w:r>
        <w:rPr>
          <w:color w:val="000000"/>
        </w:rPr>
        <w:t xml:space="preserve">” </w:t>
      </w:r>
      <w:r>
        <w:rPr>
          <w:rFonts w:ascii="Times New Roman" w:hAnsi="Times New Roman"/>
          <w:color w:val="000000"/>
          <w:sz w:val="24"/>
        </w:rPr>
        <w:t>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 w:after="283"/>
        <w:jc w:val="left"/>
        <w:rPr/>
      </w:pPr>
      <w:r>
        <w:rPr>
          <w:color w:val="000000"/>
        </w:rPr>
        <w:t>“</w:t>
      </w:r>
      <w:r>
        <w:rPr>
          <w:rFonts w:ascii="Times New Roman" w:hAnsi="Times New Roman"/>
          <w:color w:val="000000"/>
          <w:sz w:val="24"/>
          <w:u w:val="single"/>
        </w:rPr>
        <w:t>Applicable Rules</w:t>
      </w:r>
      <w:r>
        <w:rPr>
          <w:color w:val="000000"/>
        </w:rPr>
        <w:t xml:space="preserve">” </w:t>
      </w:r>
      <w:r>
        <w:rPr>
          <w:rFonts w:ascii="Times New Roman" w:hAnsi="Times New Roman"/>
          <w:color w:val="000000"/>
          <w:sz w:val="24"/>
        </w:rPr>
        <w:t>means any rules or regulations adopted by the Exchange pursuant to Rule 10D-1 under the Exchange Act and any applicable rules or regulations adopted by the SEC pursuant to Section 10D of the Exchange Act.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0"/>
        <w:jc w:val="left"/>
        <w:rPr/>
      </w:pPr>
      <w:r>
        <w:rPr>
          <w:color w:val="000000"/>
        </w:rPr>
        <w:t>“</w:t>
      </w:r>
      <w:r>
        <w:rPr>
          <w:rFonts w:ascii="Times New Roman" w:hAnsi="Times New Roman"/>
          <w:color w:val="000000"/>
          <w:sz w:val="24"/>
          <w:u w:val="single"/>
        </w:rPr>
        <w:t>Covered Person</w:t>
      </w:r>
      <w:r>
        <w:rPr>
          <w:color w:val="000000"/>
        </w:rPr>
        <w:t xml:space="preserve"> </w:t>
      </w:r>
      <w:r>
        <w:rPr>
          <w:rFonts w:ascii="Times New Roman" w:hAnsi="Times New Roman"/>
          <w:color w:val="000000"/>
          <w:sz w:val="24"/>
        </w:rPr>
        <w:t>means any Executive Officer.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3" w:after="283"/>
        <w:jc w:val="left"/>
        <w:rPr/>
      </w:pPr>
      <w:r>
        <w:rPr>
          <w:color w:val="000000"/>
        </w:rPr>
        <w:t>“</w:t>
      </w:r>
      <w:r>
        <w:rPr>
          <w:rFonts w:ascii="Times New Roman" w:hAnsi="Times New Roman"/>
          <w:color w:val="000000"/>
          <w:sz w:val="24"/>
          <w:u w:val="single"/>
        </w:rPr>
        <w:t>Effective Dat</w:t>
      </w:r>
      <w:r>
        <w:rPr>
          <w:rFonts w:ascii="Times New Roman" w:hAnsi="Times New Roman"/>
          <w:color w:val="000000"/>
          <w:sz w:val="24"/>
        </w:rPr>
        <w:t>e” means November 30, 2023.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w:t>
      </w:r>
    </w:p>
    <w:p>
      <w:pPr>
        <w:pStyle w:val="TextBody"/>
        <w:bidi w:val="0"/>
        <w:jc w:val="left"/>
        <w:rPr/>
      </w:pPr>
      <w:r>
        <w:rPr>
          <w:color w:val="000000"/>
        </w:rPr>
        <w:t>“</w:t>
      </w:r>
      <w:r>
        <w:rPr>
          <w:rFonts w:ascii="Times New Roman" w:hAnsi="Times New Roman"/>
          <w:color w:val="000000"/>
          <w:sz w:val="24"/>
          <w:u w:val="single"/>
        </w:rPr>
        <w:t>Erroneously Awarded Compensation</w:t>
      </w:r>
      <w:r>
        <w:rPr>
          <w:color w:val="000000"/>
        </w:rPr>
        <w:t xml:space="preserve">” </w:t>
      </w:r>
      <w:r>
        <w:rPr>
          <w:rFonts w:ascii="Times New Roman" w:hAnsi="Times New Roman"/>
          <w:color w:val="000000"/>
          <w:sz w:val="24"/>
        </w:rPr>
        <w:t>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w:t>
      </w:r>
    </w:p>
    <w:p>
      <w:pPr>
        <w:pStyle w:val="TextBody"/>
        <w:bidi w:val="0"/>
        <w:jc w:val="left"/>
        <w:rPr/>
      </w:pPr>
      <w:r>
        <w:rPr/>
        <w:t> </w:t>
      </w:r>
    </w:p>
    <w:p>
      <w:pPr>
        <w:pStyle w:val="TextBody"/>
        <w:bidi w:val="0"/>
        <w:spacing w:before="10" w:after="283"/>
        <w:ind w:left="4320" w:right="0" w:firstLine="72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76" w:after="283"/>
        <w:jc w:val="left"/>
        <w:rPr>
          <w:rFonts w:ascii="Times New Roman" w:hAnsi="Times New Roman"/>
          <w:color w:val="000000"/>
          <w:sz w:val="24"/>
        </w:rPr>
      </w:pPr>
      <w:r>
        <w:rPr>
          <w:rFonts w:ascii="Times New Roman" w:hAnsi="Times New Roman"/>
          <w:color w:val="000000"/>
          <w:sz w:val="24"/>
        </w:rPr>
        <w:t>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1" w:after="283"/>
        <w:jc w:val="left"/>
        <w:rPr/>
      </w:pPr>
      <w:r>
        <w:rPr>
          <w:color w:val="000000"/>
        </w:rPr>
        <w:t>“</w:t>
      </w:r>
      <w:r>
        <w:rPr>
          <w:rFonts w:ascii="Times New Roman" w:hAnsi="Times New Roman"/>
          <w:color w:val="000000"/>
          <w:sz w:val="24"/>
          <w:u w:val="single"/>
        </w:rPr>
        <w:t>Executive Officer</w:t>
      </w:r>
      <w:r>
        <w:rPr>
          <w:color w:val="000000"/>
        </w:rPr>
        <w:t xml:space="preserve">” </w:t>
      </w:r>
      <w:r>
        <w:rPr>
          <w:rFonts w:ascii="Times New Roman" w:hAnsi="Times New Roman"/>
          <w:color w:val="000000"/>
          <w:sz w:val="24"/>
        </w:rPr>
        <w:t>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 “Executive Officers” may include executive officers of parents or subsidiaries of the Company if they perform such policy making functions for the Company.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0"/>
        <w:jc w:val="left"/>
        <w:rPr/>
      </w:pPr>
      <w:r>
        <w:rPr>
          <w:color w:val="000000"/>
        </w:rPr>
        <w:t>“</w:t>
      </w:r>
      <w:r>
        <w:rPr>
          <w:rFonts w:ascii="Times New Roman" w:hAnsi="Times New Roman"/>
          <w:color w:val="000000"/>
          <w:sz w:val="24"/>
          <w:u w:val="single"/>
        </w:rPr>
        <w:t>Financial Reporting Measures</w:t>
      </w:r>
      <w:r>
        <w:rPr>
          <w:color w:val="000000"/>
        </w:rPr>
        <w:t xml:space="preserve">” </w:t>
      </w:r>
      <w:r>
        <w:rPr>
          <w:rFonts w:ascii="Times New Roman" w:hAnsi="Times New Roman"/>
          <w:color w:val="000000"/>
          <w:sz w:val="24"/>
        </w:rPr>
        <w:t>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0"/>
        <w:jc w:val="left"/>
        <w:rPr/>
      </w:pPr>
      <w:r>
        <w:rPr>
          <w:color w:val="000000"/>
        </w:rPr>
        <w:t>“</w:t>
      </w:r>
      <w:r>
        <w:rPr>
          <w:rFonts w:ascii="Times New Roman" w:hAnsi="Times New Roman"/>
          <w:color w:val="000000"/>
          <w:sz w:val="24"/>
          <w:u w:val="single"/>
        </w:rPr>
        <w:t>Incentive-Based Compensation</w:t>
      </w:r>
      <w:r>
        <w:rPr>
          <w:color w:val="000000"/>
        </w:rPr>
        <w:t xml:space="preserve">” </w:t>
      </w:r>
      <w:r>
        <w:rPr>
          <w:rFonts w:ascii="Times New Roman" w:hAnsi="Times New Roman"/>
          <w:color w:val="000000"/>
          <w:sz w:val="24"/>
        </w:rPr>
        <w:t>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0"/>
        <w:jc w:val="left"/>
        <w:rPr/>
      </w:pPr>
      <w:r>
        <w:rPr>
          <w:color w:val="000000"/>
        </w:rPr>
        <w:t>“</w:t>
      </w:r>
      <w:r>
        <w:rPr>
          <w:rFonts w:ascii="Times New Roman" w:hAnsi="Times New Roman"/>
          <w:color w:val="000000"/>
          <w:sz w:val="24"/>
          <w:u w:val="single"/>
        </w:rPr>
        <w:t>Material Financial Restatement</w:t>
      </w:r>
      <w:r>
        <w:rPr>
          <w:color w:val="000000"/>
        </w:rPr>
        <w:t xml:space="preserve">” </w:t>
      </w:r>
      <w:r>
        <w:rPr>
          <w:rFonts w:ascii="Times New Roman" w:hAnsi="Times New Roman"/>
          <w:color w:val="000000"/>
          <w:sz w:val="24"/>
        </w:rPr>
        <w:t>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j.</w:t>
      </w:r>
    </w:p>
    <w:p>
      <w:pPr>
        <w:pStyle w:val="TextBody"/>
        <w:bidi w:val="0"/>
        <w:jc w:val="left"/>
        <w:rPr/>
      </w:pPr>
      <w:r>
        <w:rPr>
          <w:color w:val="000000"/>
        </w:rPr>
        <w:t>“</w:t>
      </w:r>
      <w:r>
        <w:rPr>
          <w:rFonts w:ascii="Times New Roman" w:hAnsi="Times New Roman"/>
          <w:color w:val="000000"/>
          <w:sz w:val="24"/>
          <w:u w:val="single"/>
        </w:rPr>
        <w:t>Restatement Date</w:t>
      </w:r>
      <w:r>
        <w:rPr>
          <w:color w:val="000000"/>
        </w:rPr>
        <w:t xml:space="preserve">” </w:t>
      </w:r>
      <w:r>
        <w:rPr>
          <w:rFonts w:ascii="Times New Roman" w:hAnsi="Times New Roman"/>
          <w:color w:val="000000"/>
          <w:sz w:val="24"/>
        </w:rPr>
        <w:t>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pStyle w:val="TextBody"/>
        <w:bidi w:val="0"/>
        <w:jc w:val="left"/>
        <w:rPr/>
      </w:pPr>
      <w:r>
        <w:rPr/>
        <w:t> </w:t>
      </w:r>
    </w:p>
    <w:p>
      <w:pPr>
        <w:pStyle w:val="TextBody"/>
        <w:bidi w:val="0"/>
        <w:spacing w:before="60"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Adopted by the Board of Directors September 13, 2023</w:t>
      </w:r>
    </w:p>
    <w:p>
      <w:pPr>
        <w:pStyle w:val="TextBody"/>
        <w:bidi w:val="0"/>
        <w:jc w:val="left"/>
        <w:rPr/>
      </w:pPr>
      <w:r>
        <w:rPr/>
        <w:t> </w:t>
      </w:r>
    </w:p>
    <w:p>
      <w:pPr>
        <w:pStyle w:val="TextBody"/>
        <w:bidi w:val="0"/>
        <w:spacing w:before="10" w:after="283"/>
        <w:ind w:left="4320" w:right="0" w:firstLine="72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52130/000156459020022919/ntla-ex31_156.htm" TargetMode="External"/><Relationship Id="rId5" Type="http://schemas.openxmlformats.org/officeDocument/2006/relationships/hyperlink" Target="https://www.sec.gov/Archives/edgar/data/0001652130/000156459020007409/ntla-ex44_526.htm" TargetMode="External"/><Relationship Id="rId6" Type="http://schemas.openxmlformats.org/officeDocument/2006/relationships/hyperlink" Target="https://www.sec.gov/Archives/edgar/data/0001652130/000119312516558271/d67753dex101.htm" TargetMode="External"/><Relationship Id="rId7" Type="http://schemas.openxmlformats.org/officeDocument/2006/relationships/hyperlink" Target="https://www.sec.gov/Archives/edgar/data/1652130/000119312516537163/d67753dex102.htm" TargetMode="External"/><Relationship Id="rId8" Type="http://schemas.openxmlformats.org/officeDocument/2006/relationships/hyperlink" Target="https://www.sec.gov/Archives/edgar/data/1652130/000119312516545752/d67753dex103.htm" TargetMode="External"/><Relationship Id="rId9" Type="http://schemas.openxmlformats.org/officeDocument/2006/relationships/hyperlink" Target="https://www.sec.gov/Archives/edgar/data/1652130/000119312516545752/d67753dex104.htm" TargetMode="External"/><Relationship Id="rId10" Type="http://schemas.openxmlformats.org/officeDocument/2006/relationships/hyperlink" Target="https://www.sec.gov/Archives/edgar/data/1652130/000119312516558271/d67753dex106.htm" TargetMode="External"/><Relationship Id="rId11" Type="http://schemas.openxmlformats.org/officeDocument/2006/relationships/hyperlink" Target="https://www.sec.gov/Archives/edgar/data/1652130/000119312516537163/d67753dex107.htm" TargetMode="External"/><Relationship Id="rId12" Type="http://schemas.openxmlformats.org/officeDocument/2006/relationships/hyperlink" Target="https://www.sec.gov/Archives/edgar/data/1652130/000119312516537163/d67753dex108.htm" TargetMode="External"/><Relationship Id="rId13" Type="http://schemas.openxmlformats.org/officeDocument/2006/relationships/hyperlink" Target="https://www.sec.gov/Archives/edgar/data/1652130/000119312516558271/d67753dex109.htm" TargetMode="External"/><Relationship Id="rId14" Type="http://schemas.openxmlformats.org/officeDocument/2006/relationships/hyperlink" Target="https://www.sec.gov/Archives/edgar/data/1652130/000119312516537163/d67753dex1010.htm" TargetMode="External"/><Relationship Id="rId15" Type="http://schemas.openxmlformats.org/officeDocument/2006/relationships/hyperlink" Target="https://www.sec.gov/Archives/edgar/data/1652130/000119312516537163/d67753dex1011.htm" TargetMode="External"/><Relationship Id="rId16" Type="http://schemas.openxmlformats.org/officeDocument/2006/relationships/hyperlink" Target="https://www.sec.gov/Archives/edgar/data/1652130/000119312516578675/d67753dex1012.htm" TargetMode="External"/><Relationship Id="rId17" Type="http://schemas.openxmlformats.org/officeDocument/2006/relationships/hyperlink" Target="https://www.sec.gov/Archives/edgar/data/1652130/000119312516558271/d67753dex1013.htm" TargetMode="External"/><Relationship Id="rId18" Type="http://schemas.openxmlformats.org/officeDocument/2006/relationships/hyperlink" Target="https://www.sec.gov/Archives/edgar/data/1652130/000119312516558271/d67753dex1015.htm" TargetMode="External"/><Relationship Id="rId19" Type="http://schemas.openxmlformats.org/officeDocument/2006/relationships/hyperlink" Target="https://www.sec.gov/Archives/edgar/data/1652130/000095017022001981/ntla-ex10_16.htm" TargetMode="External"/><Relationship Id="rId20" Type="http://schemas.openxmlformats.org/officeDocument/2006/relationships/hyperlink" Target="https://www.sec.gov/Archives/edgar/data/1652130/000119312518119169/d562558dex101.htm" TargetMode="External"/><Relationship Id="rId21" Type="http://schemas.openxmlformats.org/officeDocument/2006/relationships/hyperlink" Target="https://www.sec.gov/Archives/edgar/data/1652130/000156459018025733/ntla-ex101_327.htm" TargetMode="External"/><Relationship Id="rId22" Type="http://schemas.openxmlformats.org/officeDocument/2006/relationships/hyperlink" Target="https://www.sec.gov/Archives/edgar/data/0001652130/000156459019015384/ntla-ex101_195.htm" TargetMode="External"/><Relationship Id="rId23" Type="http://schemas.openxmlformats.org/officeDocument/2006/relationships/hyperlink" Target="https://www.sec.gov/Archives/edgar/data/1652130/000095017022007805/ntla-ex10_3.htm" TargetMode="External"/><Relationship Id="rId24" Type="http://schemas.openxmlformats.org/officeDocument/2006/relationships/hyperlink" Target="https://www.sec.gov/Archives/edgar/data/1652130/000156459020022919/ntla-ex101_228.htm" TargetMode="External"/><Relationship Id="rId25" Type="http://schemas.openxmlformats.org/officeDocument/2006/relationships/hyperlink" Target="https://www.sec.gov/Archives/edgar/data/1652130/000156459020022919/ntla-ex102_227.htm" TargetMode="External"/><Relationship Id="rId26" Type="http://schemas.openxmlformats.org/officeDocument/2006/relationships/hyperlink" Target="https://www.sec.gov/Archives/edgar/data/1652130/000119312520156459/d830395dex101.htm" TargetMode="External"/><Relationship Id="rId27" Type="http://schemas.openxmlformats.org/officeDocument/2006/relationships/hyperlink" Target="https://www.sec.gov/Archives/edgar/data/0001652130/000119312520156459/d830395dex102.htm" TargetMode="External"/><Relationship Id="rId28" Type="http://schemas.openxmlformats.org/officeDocument/2006/relationships/hyperlink" Target="https://www.sec.gov/Archives/edgar/data/1652130/000095017022001981/ntla-ex10_28.htm" TargetMode="External"/><Relationship Id="rId29" Type="http://schemas.openxmlformats.org/officeDocument/2006/relationships/hyperlink" Target="https://www.sec.gov/Archives/edgar/data/1652130/000095017022001981/ntla-ex10_29.htm" TargetMode="External"/><Relationship Id="rId30" Type="http://schemas.openxmlformats.org/officeDocument/2006/relationships/hyperlink" Target="https://www.sec.gov/Archives/edgar/data/1652130/000095017023004097/ntla-ex10_30.htm" TargetMode="External"/><Relationship Id="rId31" Type="http://schemas.openxmlformats.org/officeDocument/2006/relationships/hyperlink" Target="https://www.sec.gov/Archives/edgar/data/1652130/000095017023037996/ntla-ex10_1.htm" TargetMode="External"/><Relationship Id="rId32" Type="http://schemas.openxmlformats.org/officeDocument/2006/relationships/hyperlink" Target="https://www.sec.gov/Archives/edgar/data/1652130/000095017023062011/ntla-ex10_1.htm" TargetMode="External"/><Relationship Id="rId33" Type="http://schemas.openxmlformats.org/officeDocument/2006/relationships/hyperlink" Target="https://www.sec.gov/Archives/edgar/data/1652130/000095017023062011/ntla-ex10_2.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101330</Words>
  <Characters>570815</Characters>
  <CharactersWithSpaces>672395</CharactersWithSpaces>
  <Paragraphs>7646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