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Intellia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45826J105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Scott A. Brown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General Counsel and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Administrative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250 Massachusetts Avenue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right"/>
        <w:ind w:left="5040" w:right="4960" w:firstLine="22"/>
        <w:spacing w:after="0" w:line="551" w:lineRule="auto"/>
        <w:tabs>
          <w:tab w:leader="none" w:pos="5503"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871-8000 With a copy to:</w:t>
      </w:r>
    </w:p>
    <w:p>
      <w:pPr>
        <w:ind w:left="50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G. Scott Lesmes</w:t>
      </w:r>
    </w:p>
    <w:p>
      <w:pPr>
        <w:spacing w:after="0" w:line="27" w:lineRule="exact"/>
        <w:rPr>
          <w:rFonts w:ascii="Arial" w:cs="Arial" w:eastAsia="Arial" w:hAnsi="Arial"/>
          <w:sz w:val="16"/>
          <w:szCs w:val="16"/>
          <w:b w:val="1"/>
          <w:bCs w:val="1"/>
          <w:color w:val="auto"/>
        </w:rPr>
      </w:pPr>
    </w:p>
    <w:p>
      <w:pPr>
        <w:ind w:left="46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Morrison &amp; Foerster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2000 Pennsylvania Avenue NW, Suite 6000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(202) 887-1500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February 27, 2020</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 the</w:t>
      </w:r>
      <w:r>
        <w:rPr>
          <w:rFonts w:ascii="Arial" w:cs="Arial" w:eastAsia="Arial" w:hAnsi="Arial"/>
          <w:sz w:val="18"/>
          <w:szCs w:val="18"/>
          <w:color w:val="auto"/>
        </w:rPr>
        <w:t xml:space="preserv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45826J105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60" w:hanging="661"/>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Novartis Institutes for BioMedical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60" w:hanging="66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2140" w:hanging="1079"/>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38" w:lineRule="exact"/>
        <w:rPr>
          <w:rFonts w:ascii="Arial" w:cs="Arial" w:eastAsia="Arial" w:hAnsi="Arial"/>
          <w:sz w:val="18"/>
          <w:szCs w:val="18"/>
          <w:color w:val="auto"/>
        </w:rPr>
      </w:pPr>
    </w:p>
    <w:p>
      <w:pPr>
        <w:ind w:left="2140" w:hanging="1079"/>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60" w:hanging="66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60" w:hanging="66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-396240</wp:posOffset>
            </wp:positionV>
            <wp:extent cx="64636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-944880</wp:posOffset>
            </wp:positionV>
            <wp:extent cx="5812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-1227455</wp:posOffset>
            </wp:positionV>
            <wp:extent cx="5812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60" w:hanging="66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060" w:hanging="66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-310515</wp:posOffset>
            </wp:positionV>
            <wp:extent cx="6463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7.</w:t>
            </w:r>
          </w:p>
        </w:tc>
        <w:tc>
          <w:tcPr>
            <w:tcW w:w="9280" w:type="dxa"/>
            <w:vAlign w:val="bottom"/>
          </w:tcPr>
          <w:p>
            <w:pPr>
              <w:spacing w:after="0"/>
              <w:rPr>
                <w:sz w:val="20"/>
                <w:szCs w:val="20"/>
                <w:color w:val="auto"/>
              </w:rPr>
            </w:pPr>
            <w:r>
              <w:rPr>
                <w:rFonts w:ascii="Arial" w:cs="Arial" w:eastAsia="Arial" w:hAnsi="Arial"/>
                <w:sz w:val="18"/>
                <w:szCs w:val="18"/>
                <w:color w:val="auto"/>
              </w:rPr>
              <w:t>Sole Voting Power</w:t>
            </w:r>
          </w:p>
        </w:tc>
      </w:tr>
      <w:tr>
        <w:trPr>
          <w:trHeight w:val="230"/>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r>
      <w:tr>
        <w:trPr>
          <w:trHeight w:val="614"/>
        </w:trPr>
        <w:tc>
          <w:tcPr>
            <w:tcW w:w="1160" w:type="dxa"/>
            <w:vAlign w:val="bottom"/>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ind w:left="280"/>
              <w:spacing w:after="0"/>
              <w:rPr>
                <w:sz w:val="20"/>
                <w:szCs w:val="20"/>
                <w:color w:val="auto"/>
              </w:rPr>
            </w:pPr>
            <w:r>
              <w:rPr>
                <w:rFonts w:ascii="Arial" w:cs="Arial" w:eastAsia="Arial" w:hAnsi="Arial"/>
                <w:sz w:val="18"/>
                <w:szCs w:val="18"/>
                <w:color w:val="auto"/>
              </w:rPr>
              <w:t>8.</w:t>
            </w:r>
          </w:p>
        </w:tc>
        <w:tc>
          <w:tcPr>
            <w:tcW w:w="9280" w:type="dxa"/>
            <w:vAlign w:val="bottom"/>
          </w:tcPr>
          <w:p>
            <w:pPr>
              <w:spacing w:after="0"/>
              <w:rPr>
                <w:sz w:val="20"/>
                <w:szCs w:val="20"/>
                <w:color w:val="auto"/>
              </w:rPr>
            </w:pPr>
            <w:r>
              <w:rPr>
                <w:rFonts w:ascii="Arial" w:cs="Arial" w:eastAsia="Arial" w:hAnsi="Arial"/>
                <w:sz w:val="18"/>
                <w:szCs w:val="18"/>
                <w:color w:val="auto"/>
              </w:rPr>
              <w:t>Shared Voting Power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4,352,295</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5"/>
                <w:szCs w:val="15"/>
                <w:color w:val="auto"/>
              </w:rPr>
            </w:pPr>
          </w:p>
        </w:tc>
        <w:tc>
          <w:tcPr>
            <w:tcW w:w="928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Each</w:t>
            </w:r>
          </w:p>
        </w:tc>
        <w:tc>
          <w:tcPr>
            <w:tcW w:w="8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Reporting</w:t>
            </w:r>
          </w:p>
        </w:tc>
        <w:tc>
          <w:tcPr>
            <w:tcW w:w="800" w:type="dxa"/>
            <w:vAlign w:val="bottom"/>
          </w:tcPr>
          <w:p>
            <w:pPr>
              <w:ind w:left="280"/>
              <w:spacing w:after="0"/>
              <w:rPr>
                <w:sz w:val="20"/>
                <w:szCs w:val="20"/>
                <w:color w:val="auto"/>
              </w:rPr>
            </w:pPr>
            <w:r>
              <w:rPr>
                <w:rFonts w:ascii="Arial" w:cs="Arial" w:eastAsia="Arial" w:hAnsi="Arial"/>
                <w:sz w:val="18"/>
                <w:szCs w:val="18"/>
                <w:color w:val="auto"/>
              </w:rPr>
              <w:t>9.</w:t>
            </w:r>
          </w:p>
        </w:tc>
        <w:tc>
          <w:tcPr>
            <w:tcW w:w="9280" w:type="dxa"/>
            <w:vAlign w:val="bottom"/>
          </w:tcPr>
          <w:p>
            <w:pPr>
              <w:spacing w:after="0"/>
              <w:rPr>
                <w:sz w:val="20"/>
                <w:szCs w:val="20"/>
                <w:color w:val="auto"/>
              </w:rPr>
            </w:pPr>
            <w:r>
              <w:rPr>
                <w:rFonts w:ascii="Arial" w:cs="Arial" w:eastAsia="Arial" w:hAnsi="Arial"/>
                <w:sz w:val="18"/>
                <w:szCs w:val="18"/>
                <w:color w:val="auto"/>
              </w:rPr>
              <w:t>Sole Dispositive Power</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20"/>
                <w:szCs w:val="20"/>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r>
      <w:tr>
        <w:trPr>
          <w:trHeight w:val="614"/>
        </w:trPr>
        <w:tc>
          <w:tcPr>
            <w:tcW w:w="116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10.</w:t>
            </w:r>
          </w:p>
        </w:tc>
        <w:tc>
          <w:tcPr>
            <w:tcW w:w="9280" w:type="dxa"/>
            <w:vAlign w:val="bottom"/>
          </w:tcPr>
          <w:p>
            <w:pPr>
              <w:spacing w:after="0"/>
              <w:rPr>
                <w:sz w:val="20"/>
                <w:szCs w:val="20"/>
                <w:color w:val="auto"/>
              </w:rPr>
            </w:pPr>
            <w:r>
              <w:rPr>
                <w:rFonts w:ascii="Arial" w:cs="Arial" w:eastAsia="Arial" w:hAnsi="Arial"/>
                <w:sz w:val="18"/>
                <w:szCs w:val="18"/>
                <w:color w:val="auto"/>
              </w:rPr>
              <w:t>Shared Dispositive Power</w:t>
            </w:r>
          </w:p>
        </w:tc>
      </w:tr>
      <w:tr>
        <w:trPr>
          <w:trHeight w:val="230"/>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4,352,295</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r>
    </w:tbl>
    <w:p>
      <w:pPr>
        <w:spacing w:after="0" w:line="269"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4,352,295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151765</wp:posOffset>
            </wp:positionV>
            <wp:extent cx="64636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1800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firstLine="8"/>
        <w:spacing w:after="0" w:line="263"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is based on 50,507,681 shares of Common Stock, par value $0.0001 per share, outstanding as of February 21, 2020, as reported by the Issuer on its Annual Report on Form 10-K for the fiscal year ended December 31, 2019, filed by the Issuer with the Securities and Exchange Commission on February 27, 2020.</w:t>
      </w:r>
    </w:p>
    <w:p>
      <w:pPr>
        <w:sectPr>
          <w:pgSz w:w="11900" w:h="16838" w:orient="portrait"/>
          <w:cols w:equalWidth="0" w:num="1">
            <w:col w:w="11240"/>
          </w:cols>
          <w:pgMar w:left="320" w:top="341" w:right="33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118110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45826J105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00" w:right="8120" w:hanging="701"/>
        <w:spacing w:after="0" w:line="277"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Novartis AG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60" w:hanging="66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2140" w:hanging="1079"/>
        <w:spacing w:after="0"/>
        <w:tabs>
          <w:tab w:leader="none" w:pos="2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38" w:lineRule="exact"/>
        <w:rPr>
          <w:rFonts w:ascii="Arial" w:cs="Arial" w:eastAsia="Arial" w:hAnsi="Arial"/>
          <w:sz w:val="18"/>
          <w:szCs w:val="18"/>
          <w:color w:val="auto"/>
        </w:rPr>
      </w:pPr>
    </w:p>
    <w:p>
      <w:pPr>
        <w:ind w:left="2140" w:hanging="1079"/>
        <w:spacing w:after="0"/>
        <w:tabs>
          <w:tab w:leader="none" w:pos="2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060" w:hanging="66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060" w:hanging="66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-310515</wp:posOffset>
            </wp:positionV>
            <wp:extent cx="6463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-773430</wp:posOffset>
            </wp:positionV>
            <wp:extent cx="5812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-1056005</wp:posOffset>
            </wp:positionV>
            <wp:extent cx="5812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-1878965</wp:posOffset>
            </wp:positionV>
            <wp:extent cx="64636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60" w:hanging="66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060" w:hanging="66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-310515</wp:posOffset>
            </wp:positionV>
            <wp:extent cx="6463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7.</w:t>
            </w:r>
          </w:p>
        </w:tc>
        <w:tc>
          <w:tcPr>
            <w:tcW w:w="9280" w:type="dxa"/>
            <w:vAlign w:val="bottom"/>
          </w:tcPr>
          <w:p>
            <w:pPr>
              <w:spacing w:after="0"/>
              <w:rPr>
                <w:sz w:val="20"/>
                <w:szCs w:val="20"/>
                <w:color w:val="auto"/>
              </w:rPr>
            </w:pPr>
            <w:r>
              <w:rPr>
                <w:rFonts w:ascii="Arial" w:cs="Arial" w:eastAsia="Arial" w:hAnsi="Arial"/>
                <w:sz w:val="18"/>
                <w:szCs w:val="18"/>
                <w:color w:val="auto"/>
              </w:rPr>
              <w:t>Sole Voting Power</w:t>
            </w:r>
          </w:p>
        </w:tc>
      </w:tr>
      <w:tr>
        <w:trPr>
          <w:trHeight w:val="230"/>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r>
      <w:tr>
        <w:trPr>
          <w:trHeight w:val="614"/>
        </w:trPr>
        <w:tc>
          <w:tcPr>
            <w:tcW w:w="1160" w:type="dxa"/>
            <w:vAlign w:val="bottom"/>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ind w:left="280"/>
              <w:spacing w:after="0"/>
              <w:rPr>
                <w:sz w:val="20"/>
                <w:szCs w:val="20"/>
                <w:color w:val="auto"/>
              </w:rPr>
            </w:pPr>
            <w:r>
              <w:rPr>
                <w:rFonts w:ascii="Arial" w:cs="Arial" w:eastAsia="Arial" w:hAnsi="Arial"/>
                <w:sz w:val="18"/>
                <w:szCs w:val="18"/>
                <w:color w:val="auto"/>
              </w:rPr>
              <w:t>8.</w:t>
            </w:r>
          </w:p>
        </w:tc>
        <w:tc>
          <w:tcPr>
            <w:tcW w:w="9280" w:type="dxa"/>
            <w:vAlign w:val="bottom"/>
          </w:tcPr>
          <w:p>
            <w:pPr>
              <w:spacing w:after="0"/>
              <w:rPr>
                <w:sz w:val="20"/>
                <w:szCs w:val="20"/>
                <w:color w:val="auto"/>
              </w:rPr>
            </w:pPr>
            <w:r>
              <w:rPr>
                <w:rFonts w:ascii="Arial" w:cs="Arial" w:eastAsia="Arial" w:hAnsi="Arial"/>
                <w:sz w:val="18"/>
                <w:szCs w:val="18"/>
                <w:color w:val="auto"/>
              </w:rPr>
              <w:t>Shared Voting Power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4,352,295</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5"/>
                <w:szCs w:val="15"/>
                <w:color w:val="auto"/>
              </w:rPr>
            </w:pPr>
          </w:p>
        </w:tc>
        <w:tc>
          <w:tcPr>
            <w:tcW w:w="928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Each</w:t>
            </w:r>
          </w:p>
        </w:tc>
        <w:tc>
          <w:tcPr>
            <w:tcW w:w="8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Reporting</w:t>
            </w:r>
          </w:p>
        </w:tc>
        <w:tc>
          <w:tcPr>
            <w:tcW w:w="800" w:type="dxa"/>
            <w:vAlign w:val="bottom"/>
          </w:tcPr>
          <w:p>
            <w:pPr>
              <w:ind w:left="280"/>
              <w:spacing w:after="0"/>
              <w:rPr>
                <w:sz w:val="20"/>
                <w:szCs w:val="20"/>
                <w:color w:val="auto"/>
              </w:rPr>
            </w:pPr>
            <w:r>
              <w:rPr>
                <w:rFonts w:ascii="Arial" w:cs="Arial" w:eastAsia="Arial" w:hAnsi="Arial"/>
                <w:sz w:val="18"/>
                <w:szCs w:val="18"/>
                <w:color w:val="auto"/>
              </w:rPr>
              <w:t>9.</w:t>
            </w:r>
          </w:p>
        </w:tc>
        <w:tc>
          <w:tcPr>
            <w:tcW w:w="9280" w:type="dxa"/>
            <w:vAlign w:val="bottom"/>
          </w:tcPr>
          <w:p>
            <w:pPr>
              <w:spacing w:after="0"/>
              <w:rPr>
                <w:sz w:val="20"/>
                <w:szCs w:val="20"/>
                <w:color w:val="auto"/>
              </w:rPr>
            </w:pPr>
            <w:r>
              <w:rPr>
                <w:rFonts w:ascii="Arial" w:cs="Arial" w:eastAsia="Arial" w:hAnsi="Arial"/>
                <w:sz w:val="18"/>
                <w:szCs w:val="18"/>
                <w:color w:val="auto"/>
              </w:rPr>
              <w:t>Sole Dispositive Power</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20"/>
                <w:szCs w:val="20"/>
                <w:color w:val="auto"/>
              </w:rPr>
            </w:pPr>
          </w:p>
        </w:tc>
        <w:tc>
          <w:tcPr>
            <w:tcW w:w="928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r>
      <w:tr>
        <w:trPr>
          <w:trHeight w:val="614"/>
        </w:trPr>
        <w:tc>
          <w:tcPr>
            <w:tcW w:w="116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10.</w:t>
            </w:r>
          </w:p>
        </w:tc>
        <w:tc>
          <w:tcPr>
            <w:tcW w:w="9280" w:type="dxa"/>
            <w:vAlign w:val="bottom"/>
          </w:tcPr>
          <w:p>
            <w:pPr>
              <w:spacing w:after="0"/>
              <w:rPr>
                <w:sz w:val="20"/>
                <w:szCs w:val="20"/>
                <w:color w:val="auto"/>
              </w:rPr>
            </w:pPr>
            <w:r>
              <w:rPr>
                <w:rFonts w:ascii="Arial" w:cs="Arial" w:eastAsia="Arial" w:hAnsi="Arial"/>
                <w:sz w:val="18"/>
                <w:szCs w:val="18"/>
                <w:color w:val="auto"/>
              </w:rPr>
              <w:t>Shared Dispositive Power</w:t>
            </w:r>
          </w:p>
        </w:tc>
      </w:tr>
      <w:tr>
        <w:trPr>
          <w:trHeight w:val="230"/>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4,352,295</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r>
    </w:tbl>
    <w:p>
      <w:pPr>
        <w:spacing w:after="0" w:line="269"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4,352,295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151765</wp:posOffset>
            </wp:positionV>
            <wp:extent cx="64636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64636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1800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firstLine="8"/>
        <w:spacing w:after="0" w:line="263"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calculation is based on 50,507,681 shares of Common Stock, par value $0.0001 per share, outstanding as of February 21, 2020, as reported by the Issuer on its Annual Report on Form 10-K for the fiscal year ended December 31, 2019, filed by the Issuer with the Securities and Exchange Commission on February 27,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This Amendment No. 3 (the “Amendment No. 3”) amends the statement on Schedule 13D originally filed by the Reporting Persons on May 11, 2016 and amended on December 14, 2017 and March 23, 2018 (the “Schedule 13D”). The Items below amend the information disclosed under the corresponding Item of the Schedule 13D as described below. Except as specifically provided herein, this Amendment No. 3 does not modify any of the information previously reported in the Schedule 13D. Capitalized terms used but not defined herein shall have the meanings attributed to them in the Schedule 13D.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Item 2 of the Schedule 13D is hereby amended such that all references to Schedule I contained within Item 2 and otherwise within the Schedule 13D shall refer to the Schedule I included in this Amendment No.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and (b) of the Schedule 13D are hereby amended and restated in their entirety to read as follows: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“(a)-(b) As of the date hereof, each of the Reporting Persons may be deemed, for purposes of Rule 13d-3 of the Act, directly or indirectly, including by reason of their mutual affiliation, to be the beneficial owners of 4,352,295 shares of Common Stock. Each Reporting Person has shared voting and dispositive power with the other Reporting Person.</w:t>
      </w:r>
    </w:p>
    <w:p>
      <w:pPr>
        <w:spacing w:after="0" w:line="18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Based on the 50,507,681 shares of the Issuer’s common stock outstanding as of February 21, 2020, as reported by the Issuer on its Annual Report on Form 10-K for the fiscal year ended December 31, 2019, filed by the Issuer with the Securities and Exchange Commission on February 27, 2020, the Common Stock held by the Reporting Persons constitutes 8.6% of the outstanding shares of Common Stock of the Issuer.</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NIBRI is a wholly-owned indirect subsidiary of Novartis. Novartis, as the parent company of NIBRI, may be deemed to beneficially own all of the shares of Common Stock held directly by NIBRI.”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Rule 13d-1(k)(1)(iii) of Regulation 13D-G of the General Rules and Regulations of the Securities Exchange Act of 1934, as amended, the undersigned agree that the attached statement is filed on behalf of each of them.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NOVARTIS INSTITUTES FOR BIOMEDICAL RESEARCH, INC.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Scott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Name:</w:t>
        <w:tab/>
        <w:t>Scott A. Brown</w:t>
      </w:r>
    </w:p>
    <w:p>
      <w:pPr>
        <w:spacing w:after="0" w:line="2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NOVARTIS AG</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Christian 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Name:</w:t>
        <w:tab/>
        <w:t>Christian Rehm</w:t>
      </w:r>
    </w:p>
    <w:p>
      <w:pPr>
        <w:spacing w:after="0" w:line="2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Daniel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Name:</w:t>
        <w:tab/>
        <w:t>Daniel Weiss</w:t>
      </w:r>
    </w:p>
    <w:p>
      <w:pPr>
        <w:spacing w:after="0" w:line="2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6" w:name="page7"/>
    <w:bookmarkEnd w:id="6"/>
    <w:p>
      <w:pPr>
        <w:ind w:left="10440"/>
        <w:spacing w:after="0"/>
        <w:rPr>
          <w:sz w:val="20"/>
          <w:szCs w:val="20"/>
          <w:color w:val="auto"/>
        </w:rPr>
      </w:pPr>
      <w:r>
        <w:rPr>
          <w:rFonts w:ascii="Arial" w:cs="Arial" w:eastAsia="Arial" w:hAnsi="Arial"/>
          <w:sz w:val="16"/>
          <w:szCs w:val="16"/>
          <w:b w:val="1"/>
          <w:bCs w:val="1"/>
          <w:color w:val="auto"/>
        </w:rPr>
        <w:t>Schedule I</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DIRECTORS AND EXECUTIVE OFFICERS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NOVARTIS AG AND NOVARTIS INSTITUTES FOR BIOMEDICAL</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OFFICERS OF NOVARTIS AG</w:t>
      </w:r>
    </w:p>
    <w:p>
      <w:pPr>
        <w:spacing w:after="0" w:line="2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name, function, citizenship and present principal occupation or employment of each of the directors and executive officers of Novartis AG are set forth below. Unless otherwise indicated below, (i) each occupation set forth opposite an individual’s name refers to employment with Novartis AG and (ii) the business address of each director and executive officer of Novartis AG is Novartis Campus, Lichstrasse 35, CH-4056, Basel, Switzerland.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Relationship to</w:t>
            </w:r>
          </w:p>
        </w:tc>
        <w:tc>
          <w:tcPr>
            <w:tcW w:w="25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Present Principal Occupation</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2540" w:type="dxa"/>
            <w:vAlign w:val="bottom"/>
            <w:gridSpan w:val="2"/>
          </w:tcPr>
          <w:p>
            <w:pPr>
              <w:ind w:left="760"/>
              <w:spacing w:after="0"/>
              <w:rPr>
                <w:sz w:val="20"/>
                <w:szCs w:val="20"/>
                <w:color w:val="auto"/>
              </w:rPr>
            </w:pPr>
            <w:r>
              <w:rPr>
                <w:rFonts w:ascii="Arial" w:cs="Arial" w:eastAsia="Arial" w:hAnsi="Arial"/>
                <w:sz w:val="14"/>
                <w:szCs w:val="14"/>
                <w:b w:val="1"/>
                <w:bCs w:val="1"/>
                <w:color w:val="auto"/>
              </w:rPr>
              <w:t>Novartis AG</w:t>
            </w:r>
          </w:p>
        </w:tc>
        <w:tc>
          <w:tcPr>
            <w:tcW w:w="2520" w:type="dxa"/>
            <w:vAlign w:val="bottom"/>
            <w:gridSpan w:val="2"/>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Joerg Reinhardt, Ph.D.</w:t>
            </w:r>
          </w:p>
        </w:tc>
        <w:tc>
          <w:tcPr>
            <w:tcW w:w="2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Chairman of the Board of</w:t>
            </w:r>
          </w:p>
        </w:tc>
        <w:tc>
          <w:tcPr>
            <w:tcW w:w="28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of the Board of</w:t>
            </w:r>
          </w:p>
        </w:tc>
        <w:tc>
          <w:tcPr>
            <w:tcW w:w="28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Enrico Vanni, Ph.D.</w:t>
            </w:r>
          </w:p>
        </w:tc>
        <w:tc>
          <w:tcPr>
            <w:tcW w:w="2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Vice Chairman of the Board of</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Independent Director</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Nancy C. Andrews, M.D., Ph.D.</w:t>
            </w:r>
          </w:p>
        </w:tc>
        <w:tc>
          <w:tcPr>
            <w:tcW w:w="2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Director</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Dean emerita, vice chancellor</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emerita for academic affairs,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Duke University School of</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Medicine, US; Nanaline H.</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Duke Professor of Pediatrics,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pharmacology and cancer</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biology, Duke University, US</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 Buechner</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Director</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Dutch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Patrice Bula</w:t>
            </w:r>
          </w:p>
        </w:tc>
        <w:tc>
          <w:tcPr>
            <w:tcW w:w="2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Director</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Executive vice president and</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 of strategic business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marketing, sales, and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Nespresso, Nestle SA,</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Srikant Datar, Ph.D.</w:t>
            </w:r>
          </w:p>
        </w:tc>
        <w:tc>
          <w:tcPr>
            <w:tcW w:w="2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Director</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Arthur Lowes Dickinson</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Professor, Harvard Business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School, US; Faculty Chair of</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Harvard Innovation Lab,</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Senior Associate Dean for</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University Affairs, Harvard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School, US</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Elizabeth (Liz) Doherty</w:t>
            </w: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Director</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British</w:t>
            </w:r>
          </w:p>
        </w:tc>
        <w:tc>
          <w:tcPr>
            <w:tcW w:w="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Ann Fudge</w:t>
            </w: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Director</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Bridgette Heller</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Co-founder and Chief</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Shirley</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Proctor Puller Foundation, US</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Frans van Houten</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Chief Executive Officer and</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Dutch</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chairman of the executive</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committee and the board of</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Royal</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Philips NV, Netherlands</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Simon Moroney, D. Phil.</w:t>
            </w: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Director</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German/New Zealander</w:t>
            </w:r>
          </w:p>
        </w:tc>
        <w:tc>
          <w:tcPr>
            <w:tcW w:w="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Andreas von Planta, Ph.D.</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Senior Counsel, Lenz &amp;</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Staehelin, Switzerland</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Charles L. Sawyers, M.D.</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Chair of the Human Oncology</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Pathogenesis Program,</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Memorial Sloan-Kettering</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Cancer Center, US; Professor</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Medicine and of Cell and</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Developmental Biology, Weill</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Cornell Graduate School of</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Medical Sciences, US</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T. Winters</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Director</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Chief Executive Officer and</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British, American</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 of Standard Chartered</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PLC, UK</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Vasant (Vas) Narasimhan, M.D.</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Member of the Executive</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Member of the Executive</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Committee; Chief Executive</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Committee; Chief Executive</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Officer</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Steven Baert</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Member of the Executive</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Member of the Executive</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Belgian</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7"/>
              </w:rPr>
              <w:t>Committee; Chief People and</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Committee; Chief People and</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Organization Officer</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Organization Officer</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Susanne Schaffert, Ph.D.</w:t>
            </w:r>
          </w:p>
        </w:tc>
        <w:tc>
          <w:tcPr>
            <w:tcW w:w="316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Member of the Executive</w:t>
            </w: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Member of the Executive</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Committee; President,</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Committee; President,</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20" w:type="dxa"/>
            <w:vAlign w:val="bottom"/>
            <w:shd w:val="clear" w:color="auto" w:fill="CCEEFF"/>
          </w:tcPr>
          <w:p>
            <w:pPr>
              <w:spacing w:after="0"/>
              <w:rPr>
                <w:sz w:val="20"/>
                <w:szCs w:val="20"/>
                <w:color w:val="auto"/>
              </w:rPr>
            </w:pPr>
          </w:p>
        </w:tc>
        <w:tc>
          <w:tcPr>
            <w:tcW w:w="3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Novartis Oncology</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Novartis Oncology</w:t>
            </w: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31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5"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James (Jay) Bradner, M.D.</w:t>
            </w: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President,</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President,</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Novartis Institutes for</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Institutes for</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BioMedical Research</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BioMedical Research</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Shannon Thyme Klinger</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Group General</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Group General</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Counsel</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Counsel</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Richard Saynor</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5"/>
              </w:rPr>
              <w:t>British</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Chief Executive</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Chief Executive</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Officer, Sandoz</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 Sandoz</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Marie-France Tschudin</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President,</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President,</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Novartis Pharmaceuticals</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Pharmaceuticals</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Harry Kirsch</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Chief Financial</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Chief Financial</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Officer</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Bertrand Bodson</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3"/>
              </w:rPr>
              <w:t>Belgian</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Chief Digital</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Chief Digital</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Officer</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Steffen Lang, Ph.D.</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8"/>
              </w:rPr>
              <w:t>German/Swiss</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Global Head of</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Global Head of</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7"/>
              </w:rPr>
              <w:t>Novartis Technical Operations</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Technical Operations</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Klaus Moosmayer, Ph.D.</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8"/>
              </w:rPr>
              <w:t>Committee; Chief Ethics, Risk</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Chief Ethics, Risk</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and Compliance Officer</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Compliance Officer</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Tsai, M.D.</w:t>
            </w:r>
          </w:p>
        </w:tc>
        <w:tc>
          <w:tcPr>
            <w:tcW w:w="338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Member of the Executive</w:t>
            </w: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Member of the Executive</w:t>
            </w:r>
          </w:p>
        </w:tc>
        <w:tc>
          <w:tcPr>
            <w:tcW w:w="21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Committee; Global Head of</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Committee; Global Head of</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Drug Development and Chief</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Development and Chief</w:t>
            </w:r>
          </w:p>
        </w:tc>
        <w:tc>
          <w:tcPr>
            <w:tcW w:w="2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40" w:type="dxa"/>
            <w:vAlign w:val="bottom"/>
            <w:shd w:val="clear" w:color="auto" w:fill="CCEEFF"/>
          </w:tcPr>
          <w:p>
            <w:pPr>
              <w:spacing w:after="0"/>
              <w:rPr>
                <w:sz w:val="20"/>
                <w:szCs w:val="20"/>
                <w:color w:val="auto"/>
              </w:rPr>
            </w:pPr>
          </w:p>
        </w:tc>
        <w:tc>
          <w:tcPr>
            <w:tcW w:w="3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Medical Officer</w:t>
            </w: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Medical Officer</w:t>
            </w:r>
          </w:p>
        </w:tc>
        <w:tc>
          <w:tcPr>
            <w:tcW w:w="2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94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0"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Robert Weltevreden</w:t>
            </w:r>
          </w:p>
        </w:tc>
        <w:tc>
          <w:tcPr>
            <w:tcW w:w="35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Member of the Executive</w:t>
            </w: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 of the Executive</w:t>
            </w:r>
          </w:p>
        </w:tc>
        <w:tc>
          <w:tcPr>
            <w:tcW w:w="1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Dutch</w:t>
            </w:r>
          </w:p>
        </w:tc>
      </w:tr>
      <w:tr>
        <w:trPr>
          <w:trHeight w:val="216"/>
        </w:trPr>
        <w:tc>
          <w:tcPr>
            <w:tcW w:w="2700" w:type="dxa"/>
            <w:vAlign w:val="bottom"/>
            <w:shd w:val="clear" w:color="auto" w:fill="CCEEFF"/>
          </w:tcPr>
          <w:p>
            <w:pPr>
              <w:spacing w:after="0"/>
              <w:rPr>
                <w:sz w:val="18"/>
                <w:szCs w:val="18"/>
                <w:color w:val="auto"/>
              </w:rPr>
            </w:pPr>
          </w:p>
        </w:tc>
        <w:tc>
          <w:tcPr>
            <w:tcW w:w="358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Committee; Head of Novartis</w:t>
            </w: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Committee; Head of Novartis</w:t>
            </w:r>
          </w:p>
        </w:tc>
        <w:tc>
          <w:tcPr>
            <w:tcW w:w="1980" w:type="dxa"/>
            <w:vAlign w:val="bottom"/>
            <w:shd w:val="clear" w:color="auto" w:fill="CCEEFF"/>
          </w:tcPr>
          <w:p>
            <w:pPr>
              <w:spacing w:after="0"/>
              <w:rPr>
                <w:sz w:val="18"/>
                <w:szCs w:val="18"/>
                <w:color w:val="auto"/>
              </w:rPr>
            </w:pPr>
          </w:p>
        </w:tc>
      </w:tr>
      <w:tr>
        <w:trPr>
          <w:trHeight w:val="230"/>
        </w:trPr>
        <w:tc>
          <w:tcPr>
            <w:tcW w:w="2700" w:type="dxa"/>
            <w:vAlign w:val="bottom"/>
            <w:shd w:val="clear" w:color="auto" w:fill="CCEEFF"/>
          </w:tcPr>
          <w:p>
            <w:pPr>
              <w:spacing w:after="0"/>
              <w:rPr>
                <w:sz w:val="20"/>
                <w:szCs w:val="20"/>
                <w:color w:val="auto"/>
              </w:rPr>
            </w:pPr>
          </w:p>
        </w:tc>
        <w:tc>
          <w:tcPr>
            <w:tcW w:w="35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Business Services</w:t>
            </w: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Services</w:t>
            </w:r>
          </w:p>
        </w:tc>
        <w:tc>
          <w:tcPr>
            <w:tcW w:w="19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OFFICERS OF NOVARTIS INSTITUTES FOR BIOMEDICAL RESEARCH, INC.</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name, function, citizenship and present principal occupation or employment of each of the directors and executive officers of Novartis Institutes for BioMedical Research, Inc. (“NIBR”) are set forth below. Unless otherwise indicated below, (i) each occupation set forth opposite an individual’s name refers to employment with Novartis Institutes for BioMedical Research, Inc. and (ii) the business address of each director and executive officer for Novartis Institutes for BioMedical Research, Inc. is 250 Massachusetts Avenue, Cambridge, MA 02139, USA.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gridSpan w:val="2"/>
          </w:tcPr>
          <w:p>
            <w:pPr>
              <w:ind w:left="360"/>
              <w:spacing w:after="0"/>
              <w:rPr>
                <w:sz w:val="20"/>
                <w:szCs w:val="20"/>
                <w:color w:val="auto"/>
              </w:rPr>
            </w:pPr>
            <w:r>
              <w:rPr>
                <w:rFonts w:ascii="Arial" w:cs="Arial" w:eastAsia="Arial" w:hAnsi="Arial"/>
                <w:sz w:val="14"/>
                <w:szCs w:val="14"/>
                <w:b w:val="1"/>
                <w:bCs w:val="1"/>
                <w:color w:val="auto"/>
              </w:rPr>
              <w:t>Relationship to Novartis Institutes</w:t>
            </w:r>
          </w:p>
        </w:tc>
        <w:tc>
          <w:tcPr>
            <w:tcW w:w="2520" w:type="dxa"/>
            <w:vAlign w:val="bottom"/>
            <w:gridSpan w:val="2"/>
          </w:tcPr>
          <w:p>
            <w:pPr>
              <w:ind w:left="600"/>
              <w:spacing w:after="0"/>
              <w:rPr>
                <w:sz w:val="20"/>
                <w:szCs w:val="20"/>
                <w:color w:val="auto"/>
              </w:rPr>
            </w:pPr>
            <w:r>
              <w:rPr>
                <w:rFonts w:ascii="Arial" w:cs="Arial" w:eastAsia="Arial" w:hAnsi="Arial"/>
                <w:sz w:val="14"/>
                <w:szCs w:val="14"/>
                <w:b w:val="1"/>
                <w:bCs w:val="1"/>
                <w:color w:val="auto"/>
              </w:rPr>
              <w:t>Present Principal</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3100" w:type="dxa"/>
            <w:vAlign w:val="bottom"/>
            <w:gridSpan w:val="2"/>
          </w:tcPr>
          <w:p>
            <w:pPr>
              <w:ind w:left="500"/>
              <w:spacing w:after="0"/>
              <w:rPr>
                <w:sz w:val="20"/>
                <w:szCs w:val="20"/>
                <w:color w:val="auto"/>
              </w:rPr>
            </w:pPr>
            <w:r>
              <w:rPr>
                <w:rFonts w:ascii="Arial" w:cs="Arial" w:eastAsia="Arial" w:hAnsi="Arial"/>
                <w:sz w:val="14"/>
                <w:szCs w:val="14"/>
                <w:b w:val="1"/>
                <w:bCs w:val="1"/>
                <w:color w:val="auto"/>
              </w:rPr>
              <w:t>for BioMedical Research, Inc.</w:t>
            </w:r>
          </w:p>
        </w:tc>
        <w:tc>
          <w:tcPr>
            <w:tcW w:w="2520" w:type="dxa"/>
            <w:vAlign w:val="bottom"/>
            <w:gridSpan w:val="2"/>
          </w:tcPr>
          <w:p>
            <w:pPr>
              <w:ind w:left="780"/>
              <w:spacing w:after="0"/>
              <w:rPr>
                <w:sz w:val="20"/>
                <w:szCs w:val="20"/>
                <w:color w:val="auto"/>
              </w:rPr>
            </w:pPr>
            <w:r>
              <w:rPr>
                <w:rFonts w:ascii="Arial" w:cs="Arial" w:eastAsia="Arial" w:hAnsi="Arial"/>
                <w:sz w:val="14"/>
                <w:szCs w:val="14"/>
                <w:b w:val="1"/>
                <w:bCs w:val="1"/>
                <w:color w:val="auto"/>
              </w:rPr>
              <w:t>Occupation</w:t>
            </w:r>
          </w:p>
        </w:tc>
        <w:tc>
          <w:tcPr>
            <w:tcW w:w="2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Joerg Reinhardt, Ph.D.</w:t>
            </w:r>
          </w:p>
        </w:tc>
        <w:tc>
          <w:tcPr>
            <w:tcW w:w="28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of the Board of Directors</w:t>
            </w:r>
          </w:p>
        </w:tc>
        <w:tc>
          <w:tcPr>
            <w:tcW w:w="28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of the Board of</w:t>
            </w:r>
          </w:p>
        </w:tc>
        <w:tc>
          <w:tcPr>
            <w:tcW w:w="28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NIBR; Chairman of</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Board of Directors;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Novartis AG; Novartis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Campus, Lichstrasse 35, CH-</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4056, Basel, Switzerland</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Thomas Kendris</w:t>
            </w: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President, Novartis</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 US Country</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Novartis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Pharmaceuticals; Novartis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Campus, Lichstrasse 35, CH-</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4056, Basel, Switzerland</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Harry Kirsch</w:t>
            </w: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Member of the Novartis AG</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Committee; Chief</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Officer, Novartis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 Novartis Campus,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Lichstrasse 35, CH-4056,</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Basel, Switzerland</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(Jay) Bradner, M.D.</w:t>
            </w: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Vice Chairman of the Board of</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Member of the Novartis AG</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President</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Committee;</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of NIBR; Novartis</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Campus, Lichstrasse 35, CH-</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4056, Basel, Switzerland</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Dimitris Agrafiotis</w:t>
            </w: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Information Officer</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Information Officer,</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American and Greek</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NIBR</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Silvia Arber, Ph.D.</w:t>
            </w: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Group Leader Musculoskeletal,</w:t>
            </w: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Group Leader</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FMI</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Musculoskeletal, FMI,</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Novartis Campus, Lichstrasse</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 CH-4056, Basel,</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0"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Evan Beckman, M.D.</w:t>
            </w: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Global Head Translational Medicine</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Head Translational</w:t>
            </w:r>
          </w:p>
        </w:tc>
        <w:tc>
          <w:tcPr>
            <w:tcW w:w="23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Medicine, 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Tewis Bouwmeester, Ph.D.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Head DAx, CBT, NIBR Site Head</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Head DAx, CBT, NIBR Site</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Netherlands</w:t>
            </w:r>
          </w:p>
        </w:tc>
        <w:tc>
          <w:tcPr>
            <w:tcW w:w="40" w:type="dxa"/>
            <w:vAlign w:val="bottom"/>
          </w:tcPr>
          <w:p>
            <w:pPr>
              <w:spacing w:after="0"/>
              <w:rPr>
                <w:sz w:val="17"/>
                <w:szCs w:val="17"/>
                <w:color w:val="auto"/>
              </w:rPr>
            </w:pPr>
          </w:p>
        </w:tc>
      </w:tr>
      <w:tr>
        <w:trPr>
          <w:trHeight w:val="216"/>
        </w:trPr>
        <w:tc>
          <w:tcPr>
            <w:tcW w:w="2820" w:type="dxa"/>
            <w:vAlign w:val="bottom"/>
            <w:shd w:val="clear" w:color="auto" w:fill="CCEEFF"/>
          </w:tcPr>
          <w:p>
            <w:pPr>
              <w:spacing w:after="0"/>
              <w:rPr>
                <w:sz w:val="18"/>
                <w:szCs w:val="18"/>
                <w:color w:val="auto"/>
              </w:rPr>
            </w:pP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Switzerland</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Head Switzerland, Novartis</w:t>
            </w:r>
          </w:p>
        </w:tc>
        <w:tc>
          <w:tcPr>
            <w:tcW w:w="2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Campus, Lichstrasse 35, CH-</w:t>
            </w:r>
          </w:p>
        </w:tc>
        <w:tc>
          <w:tcPr>
            <w:tcW w:w="2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4056, Basel, Switzerland</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Karin Briner, Ph.D.</w:t>
            </w: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Head, Chemistry</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Head, Chemistry, NIBR</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Scott Brown</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6"/>
              </w:rPr>
              <w:t>Vice President and General Counsel;</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Vice President and General</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820" w:type="dxa"/>
            <w:vAlign w:val="bottom"/>
            <w:shd w:val="clear" w:color="auto" w:fill="CCEEFF"/>
          </w:tcPr>
          <w:p>
            <w:pPr>
              <w:spacing w:after="0"/>
              <w:rPr>
                <w:sz w:val="18"/>
                <w:szCs w:val="18"/>
                <w:color w:val="auto"/>
              </w:rPr>
            </w:pP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Chief Administrative Officer;</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Counsel; Chief Administrative</w:t>
            </w:r>
          </w:p>
        </w:tc>
        <w:tc>
          <w:tcPr>
            <w:tcW w:w="2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Secretary</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Officer; Secretary, 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Christian Bruns, Ph.D.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Global Head, ATI</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Global Head, ATI, Novartis</w:t>
            </w:r>
          </w:p>
        </w:tc>
        <w:tc>
          <w:tcPr>
            <w:tcW w:w="238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7"/>
                <w:szCs w:val="17"/>
                <w:color w:val="auto"/>
              </w:rPr>
            </w:pPr>
          </w:p>
        </w:tc>
      </w:tr>
      <w:tr>
        <w:trPr>
          <w:trHeight w:val="216"/>
        </w:trPr>
        <w:tc>
          <w:tcPr>
            <w:tcW w:w="28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Campus, Lichstrasse 35, CH-</w:t>
            </w:r>
          </w:p>
        </w:tc>
        <w:tc>
          <w:tcPr>
            <w:tcW w:w="2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4056, Basel, Switzerland</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Fenella Chisholm</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Global Head People &amp; Organization</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Global Head People &amp;</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5"/>
              </w:rPr>
              <w:t>British</w:t>
            </w:r>
          </w:p>
        </w:tc>
        <w:tc>
          <w:tcPr>
            <w:tcW w:w="40" w:type="dxa"/>
            <w:vAlign w:val="bottom"/>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Organization, 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Stephen Cho, Ph.D.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Global Head, Portfolio Management</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Global Head, Portfolio</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Shaun Coughlin</w:t>
            </w: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Global Head CVM</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Head CVM, NIBR</w:t>
            </w:r>
          </w:p>
        </w:tc>
        <w:tc>
          <w:tcPr>
            <w:tcW w:w="23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Thierry Diagana, Ph.D.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Head NITD</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Head NITD, One Health</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8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Plaza, East Hannover, NJ</w:t>
            </w:r>
          </w:p>
        </w:tc>
        <w:tc>
          <w:tcPr>
            <w:tcW w:w="2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07936</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Ricardo Dolmetsch, Ph.D.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Global Head, Neuroscience</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Global Head, Neuroscience,</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3"/>
              </w:rPr>
              <w:t>American, British, Colombian</w:t>
            </w:r>
          </w:p>
        </w:tc>
        <w:tc>
          <w:tcPr>
            <w:tcW w:w="40" w:type="dxa"/>
            <w:vAlign w:val="bottom"/>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Glenn Dranoff, M.D.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Global Head, Exploratory Immuno-</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Global Head, Exploratory</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Oncology</w:t>
            </w: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Immuno-Oncology, 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Jeffrey Engelman, M.D., Ph.D.</w:t>
            </w:r>
          </w:p>
        </w:tc>
        <w:tc>
          <w:tcPr>
            <w:tcW w:w="34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Oncology Disease Area Head</w:t>
            </w:r>
          </w:p>
        </w:tc>
        <w:tc>
          <w:tcPr>
            <w:tcW w:w="2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Oncology Disease Area Head,</w:t>
            </w:r>
          </w:p>
        </w:tc>
        <w:tc>
          <w:tcPr>
            <w:tcW w:w="2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NIBR</w:t>
            </w:r>
          </w:p>
        </w:tc>
        <w:tc>
          <w:tcPr>
            <w:tcW w:w="23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8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0"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Mairead Goetz</w:t>
            </w: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Global Head, NIBR SciOps</w:t>
            </w: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Global Head, NIBR SciOps</w:t>
            </w:r>
          </w:p>
        </w:tc>
        <w:tc>
          <w:tcPr>
            <w:tcW w:w="20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3"/>
              </w:rPr>
              <w:t>Irish</w:t>
            </w: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Philip Gotwals, Ph.D.</w:t>
            </w: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Global Head BD&amp;L</w:t>
            </w: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Global Head BD&amp;L, NIBR</w:t>
            </w:r>
          </w:p>
        </w:tc>
        <w:tc>
          <w:tcPr>
            <w:tcW w:w="20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Cynthia Grosskreutz, M.D., Ph.D.</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5"/>
              </w:rPr>
              <w:t>Global Head Ophthalmology Diseases</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Global Head Ophthalmology</w:t>
            </w:r>
          </w:p>
        </w:tc>
        <w:tc>
          <w:tcPr>
            <w:tcW w:w="200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Diseases, NIBR,</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Jerry Joyce</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Institute Director, GNF</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Institute Director, GNF,</w:t>
            </w:r>
          </w:p>
        </w:tc>
        <w:tc>
          <w:tcPr>
            <w:tcW w:w="200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Genomics Institute of the</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Research Foundation,</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10675 John Jay Hopkins</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Drive, San Diego, CA 92121</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Michaela Kneissel, Ph.D.</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Global Head Musculoskeletal</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Global Head Musculoskeletal,</w:t>
            </w:r>
          </w:p>
        </w:tc>
        <w:tc>
          <w:tcPr>
            <w:tcW w:w="2000" w:type="dxa"/>
            <w:vAlign w:val="bottom"/>
            <w:shd w:val="clear" w:color="auto" w:fill="CCEEFF"/>
          </w:tcPr>
          <w:p>
            <w:pPr>
              <w:jc w:val="center"/>
              <w:ind w:right="170"/>
              <w:spacing w:after="0" w:line="201" w:lineRule="exact"/>
              <w:rPr>
                <w:sz w:val="20"/>
                <w:szCs w:val="20"/>
                <w:color w:val="auto"/>
              </w:rPr>
            </w:pPr>
            <w:r>
              <w:rPr>
                <w:rFonts w:ascii="Arial" w:cs="Arial" w:eastAsia="Arial" w:hAnsi="Arial"/>
                <w:sz w:val="18"/>
                <w:szCs w:val="18"/>
                <w:color w:val="auto"/>
                <w:w w:val="93"/>
              </w:rPr>
              <w:t>Austrian</w:t>
            </w:r>
          </w:p>
        </w:tc>
        <w:tc>
          <w:tcPr>
            <w:tcW w:w="4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Campus, Lichstrasse</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 CH-4056, Basel,</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 Li, Ph.D.</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Head CNIBR</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Head CNIBR, Novartis</w:t>
            </w:r>
          </w:p>
        </w:tc>
        <w:tc>
          <w:tcPr>
            <w:tcW w:w="200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Shanghai Campus, 4218 Kinke</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Road, Pudong New Area,</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Shanghai, China 201203</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Jeffrey Lockwood</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Head, NIBR Communications</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Head, NIBR Communications,</w:t>
            </w:r>
          </w:p>
        </w:tc>
        <w:tc>
          <w:tcPr>
            <w:tcW w:w="200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NIBR</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Vishal Patel, Ph.D.</w:t>
            </w: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Chief of Staff</w:t>
            </w: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of Staff, NIBR</w:t>
            </w:r>
          </w:p>
        </w:tc>
        <w:tc>
          <w:tcPr>
            <w:tcW w:w="20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Pietzonka, Dr. sc. nat</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Global Head Biotherapeutic and</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Global Head Biotherapeutic</w:t>
            </w:r>
          </w:p>
        </w:tc>
        <w:tc>
          <w:tcPr>
            <w:tcW w:w="2000" w:type="dxa"/>
            <w:vAlign w:val="bottom"/>
            <w:shd w:val="clear" w:color="auto" w:fill="CCEEFF"/>
          </w:tcPr>
          <w:p>
            <w:pPr>
              <w:jc w:val="center"/>
              <w:ind w:right="170"/>
              <w:spacing w:after="0" w:line="201" w:lineRule="exact"/>
              <w:rPr>
                <w:sz w:val="20"/>
                <w:szCs w:val="20"/>
                <w:color w:val="auto"/>
              </w:rPr>
            </w:pPr>
            <w:r>
              <w:rPr>
                <w:rFonts w:ascii="Arial" w:cs="Arial" w:eastAsia="Arial" w:hAnsi="Arial"/>
                <w:sz w:val="18"/>
                <w:szCs w:val="18"/>
                <w:color w:val="auto"/>
                <w:w w:val="89"/>
              </w:rPr>
              <w:t>Swiss</w:t>
            </w:r>
          </w:p>
        </w:tc>
        <w:tc>
          <w:tcPr>
            <w:tcW w:w="4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Analytical Tech</w:t>
            </w: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Analytical Tech, NIBR,</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Novartis Campus, Lichstrasse</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 CH-4056, Basel,</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Jeffrey Porter</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Head Chemical Biology and</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Head Chemical Biology and</w:t>
            </w:r>
          </w:p>
        </w:tc>
        <w:tc>
          <w:tcPr>
            <w:tcW w:w="200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Therapeutics</w:t>
            </w: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Therapeutics, NIBR</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Revathi Rammohan</w:t>
            </w:r>
          </w:p>
        </w:tc>
        <w:tc>
          <w:tcPr>
            <w:tcW w:w="34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Chief Financial Officer and Head of</w:t>
            </w: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Chief Financial Officer and</w:t>
            </w:r>
          </w:p>
        </w:tc>
        <w:tc>
          <w:tcPr>
            <w:tcW w:w="200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5"/>
              </w:rPr>
              <w:t>British</w:t>
            </w:r>
          </w:p>
        </w:tc>
        <w:tc>
          <w:tcPr>
            <w:tcW w:w="4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18"/>
                <w:szCs w:val="18"/>
                <w:color w:val="auto"/>
              </w:rPr>
            </w:pP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Operations; Treasurer</w:t>
            </w: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Head of Research Operations;</w:t>
            </w:r>
          </w:p>
        </w:tc>
        <w:tc>
          <w:tcPr>
            <w:tcW w:w="2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Treasurer, NIBR</w:t>
            </w:r>
          </w:p>
        </w:tc>
        <w:tc>
          <w:tcPr>
            <w:tcW w:w="2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9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6"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Dirk Schuebeler, Ph.D.</w:t>
            </w:r>
          </w:p>
        </w:tc>
        <w:tc>
          <w:tcPr>
            <w:tcW w:w="3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Senior Group Leader,</w:t>
            </w: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Group Leader,</w:t>
            </w:r>
          </w:p>
        </w:tc>
        <w:tc>
          <w:tcPr>
            <w:tcW w:w="21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German</w:t>
            </w:r>
          </w:p>
        </w:tc>
        <w:tc>
          <w:tcPr>
            <w:tcW w:w="40" w:type="dxa"/>
            <w:vAlign w:val="bottom"/>
          </w:tcPr>
          <w:p>
            <w:pPr>
              <w:spacing w:after="0"/>
              <w:rPr>
                <w:sz w:val="17"/>
                <w:szCs w:val="17"/>
                <w:color w:val="auto"/>
              </w:rPr>
            </w:pPr>
          </w:p>
        </w:tc>
      </w:tr>
      <w:tr>
        <w:trPr>
          <w:trHeight w:val="216"/>
        </w:trPr>
        <w:tc>
          <w:tcPr>
            <w:tcW w:w="2600" w:type="dxa"/>
            <w:vAlign w:val="bottom"/>
            <w:shd w:val="clear" w:color="auto" w:fill="CCEEFF"/>
          </w:tcPr>
          <w:p>
            <w:pPr>
              <w:spacing w:after="0"/>
              <w:rPr>
                <w:sz w:val="18"/>
                <w:szCs w:val="18"/>
                <w:color w:val="auto"/>
              </w:rPr>
            </w:pPr>
          </w:p>
        </w:tc>
        <w:tc>
          <w:tcPr>
            <w:tcW w:w="3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Musculoskeletal, FMI</w:t>
            </w: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Musculoskeletal, FMI,</w:t>
            </w:r>
          </w:p>
        </w:tc>
        <w:tc>
          <w:tcPr>
            <w:tcW w:w="2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Novartis Campus, Lichstrasse</w:t>
            </w:r>
          </w:p>
        </w:tc>
        <w:tc>
          <w:tcPr>
            <w:tcW w:w="2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35, CH-4056, Basel,</w:t>
            </w:r>
          </w:p>
        </w:tc>
        <w:tc>
          <w:tcPr>
            <w:tcW w:w="2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Switzerland</w:t>
            </w:r>
          </w:p>
        </w:tc>
        <w:tc>
          <w:tcPr>
            <w:tcW w:w="2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6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Alice Shaw, M.D., Ph.D.</w:t>
            </w:r>
          </w:p>
        </w:tc>
        <w:tc>
          <w:tcPr>
            <w:tcW w:w="3740" w:type="dxa"/>
            <w:vAlign w:val="bottom"/>
            <w:shd w:val="clear" w:color="auto" w:fill="CCEEFF"/>
          </w:tcPr>
          <w:p>
            <w:pPr>
              <w:ind w:left="780"/>
              <w:spacing w:after="0" w:line="201" w:lineRule="exact"/>
              <w:rPr>
                <w:sz w:val="20"/>
                <w:szCs w:val="20"/>
                <w:color w:val="auto"/>
              </w:rPr>
            </w:pPr>
            <w:r>
              <w:rPr>
                <w:rFonts w:ascii="Arial" w:cs="Arial" w:eastAsia="Arial" w:hAnsi="Arial"/>
                <w:sz w:val="18"/>
                <w:szCs w:val="18"/>
                <w:color w:val="auto"/>
              </w:rPr>
              <w:t>Global Head Translational Clinical</w:t>
            </w:r>
          </w:p>
        </w:tc>
        <w:tc>
          <w:tcPr>
            <w:tcW w:w="2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Global Head Translational</w:t>
            </w: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30"/>
        </w:trPr>
        <w:tc>
          <w:tcPr>
            <w:tcW w:w="2600" w:type="dxa"/>
            <w:vAlign w:val="bottom"/>
            <w:shd w:val="clear" w:color="auto" w:fill="CCEEFF"/>
          </w:tcPr>
          <w:p>
            <w:pPr>
              <w:spacing w:after="0"/>
              <w:rPr>
                <w:sz w:val="20"/>
                <w:szCs w:val="20"/>
                <w:color w:val="auto"/>
              </w:rPr>
            </w:pPr>
          </w:p>
        </w:tc>
        <w:tc>
          <w:tcPr>
            <w:tcW w:w="3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Oncology</w:t>
            </w: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Clinical Oncology, NIBR</w:t>
            </w:r>
          </w:p>
        </w:tc>
        <w:tc>
          <w:tcPr>
            <w:tcW w:w="2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6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Jean Silveri</w:t>
            </w:r>
          </w:p>
        </w:tc>
        <w:tc>
          <w:tcPr>
            <w:tcW w:w="3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Global Head R&amp;D IP</w:t>
            </w: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 Head R&amp;D IP, NIBR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Fiona Spence, Ph.D.</w:t>
            </w:r>
          </w:p>
        </w:tc>
        <w:tc>
          <w:tcPr>
            <w:tcW w:w="3740" w:type="dxa"/>
            <w:vAlign w:val="bottom"/>
            <w:shd w:val="clear" w:color="auto" w:fill="CCEEFF"/>
          </w:tcPr>
          <w:p>
            <w:pPr>
              <w:ind w:left="780"/>
              <w:spacing w:after="0" w:line="201" w:lineRule="exact"/>
              <w:rPr>
                <w:sz w:val="20"/>
                <w:szCs w:val="20"/>
                <w:color w:val="auto"/>
              </w:rPr>
            </w:pPr>
            <w:r>
              <w:rPr>
                <w:rFonts w:ascii="Arial" w:cs="Arial" w:eastAsia="Arial" w:hAnsi="Arial"/>
                <w:sz w:val="18"/>
                <w:szCs w:val="18"/>
                <w:color w:val="auto"/>
              </w:rPr>
              <w:t>Global Head of Preclinical Safety</w:t>
            </w:r>
          </w:p>
        </w:tc>
        <w:tc>
          <w:tcPr>
            <w:tcW w:w="2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Global Head of Preclinical</w:t>
            </w: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United Kingdom</w:t>
            </w:r>
          </w:p>
        </w:tc>
        <w:tc>
          <w:tcPr>
            <w:tcW w:w="40" w:type="dxa"/>
            <w:vAlign w:val="bottom"/>
          </w:tcPr>
          <w:p>
            <w:pPr>
              <w:spacing w:after="0"/>
              <w:rPr>
                <w:sz w:val="17"/>
                <w:szCs w:val="17"/>
                <w:color w:val="auto"/>
              </w:rPr>
            </w:pPr>
          </w:p>
        </w:tc>
      </w:tr>
      <w:tr>
        <w:trPr>
          <w:trHeight w:val="230"/>
        </w:trPr>
        <w:tc>
          <w:tcPr>
            <w:tcW w:w="260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 NIBR</w:t>
            </w:r>
          </w:p>
        </w:tc>
        <w:tc>
          <w:tcPr>
            <w:tcW w:w="2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6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Wendi Yajnik, Ph.D.</w:t>
            </w:r>
          </w:p>
        </w:tc>
        <w:tc>
          <w:tcPr>
            <w:tcW w:w="3740" w:type="dxa"/>
            <w:vAlign w:val="bottom"/>
            <w:shd w:val="clear" w:color="auto" w:fill="CCEEFF"/>
          </w:tcPr>
          <w:p>
            <w:pPr>
              <w:ind w:left="780"/>
              <w:spacing w:after="0" w:line="201" w:lineRule="exact"/>
              <w:rPr>
                <w:sz w:val="20"/>
                <w:szCs w:val="20"/>
                <w:color w:val="auto"/>
              </w:rPr>
            </w:pPr>
            <w:r>
              <w:rPr>
                <w:rFonts w:ascii="Arial" w:cs="Arial" w:eastAsia="Arial" w:hAnsi="Arial"/>
                <w:sz w:val="18"/>
                <w:szCs w:val="18"/>
                <w:color w:val="auto"/>
                <w:w w:val="94"/>
              </w:rPr>
              <w:t>Global Head of Academic Partnerships</w:t>
            </w:r>
          </w:p>
        </w:tc>
        <w:tc>
          <w:tcPr>
            <w:tcW w:w="2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Global Head of Academic</w:t>
            </w: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American</w:t>
            </w:r>
          </w:p>
        </w:tc>
        <w:tc>
          <w:tcPr>
            <w:tcW w:w="40" w:type="dxa"/>
            <w:vAlign w:val="bottom"/>
          </w:tcPr>
          <w:p>
            <w:pPr>
              <w:spacing w:after="0"/>
              <w:rPr>
                <w:sz w:val="17"/>
                <w:szCs w:val="17"/>
                <w:color w:val="auto"/>
              </w:rPr>
            </w:pPr>
          </w:p>
        </w:tc>
      </w:tr>
      <w:tr>
        <w:trPr>
          <w:trHeight w:val="216"/>
        </w:trPr>
        <w:tc>
          <w:tcPr>
            <w:tcW w:w="2600" w:type="dxa"/>
            <w:vAlign w:val="bottom"/>
            <w:shd w:val="clear" w:color="auto" w:fill="CCEEFF"/>
          </w:tcPr>
          <w:p>
            <w:pPr>
              <w:spacing w:after="0"/>
              <w:rPr>
                <w:sz w:val="18"/>
                <w:szCs w:val="18"/>
                <w:color w:val="auto"/>
              </w:rPr>
            </w:pPr>
          </w:p>
        </w:tc>
        <w:tc>
          <w:tcPr>
            <w:tcW w:w="3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and External Innovation</w:t>
            </w: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Partnerships and External</w:t>
            </w:r>
          </w:p>
        </w:tc>
        <w:tc>
          <w:tcPr>
            <w:tcW w:w="2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Innovation, NIBR</w:t>
            </w:r>
          </w:p>
        </w:tc>
        <w:tc>
          <w:tcPr>
            <w:tcW w:w="2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60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5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1"/>
    </w:lvl>
    <w:lvl w:ilvl="1">
      <w:lvlJc w:val="left"/>
      <w:lvlText w:val="(%2)"/>
      <w:numFmt w:val="decimal"/>
      <w:start w:val="617"/>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2020-03-30T13:56:02Z</dcterms:created>
  <dcterms:modified xsi:type="dcterms:W3CDTF">2020-03-30T13:56:02Z</dcterms:modified>
</cp:coreProperties>
</file>