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160020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INTELLIA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080" w:type="dxa"/>
        <w:tblCellMar>
          <w:top w:w="0" w:type="dxa"/>
          <w:left w:w="0" w:type="dxa"/>
          <w:bottom w:w="0" w:type="dxa"/>
          <w:right w:w="0" w:type="dxa"/>
        </w:tblCellMar>
      </w:tblPr>
      <w:tr>
        <w:trPr>
          <w:trHeight w:val="150"/>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2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001-37766</w:t>
            </w:r>
          </w:p>
        </w:tc>
        <w:tc>
          <w:tcPr>
            <w:tcW w:w="17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36-4785571</w:t>
            </w:r>
          </w:p>
        </w:tc>
      </w:tr>
      <w:tr>
        <w:trPr>
          <w:trHeight w:val="104"/>
        </w:trPr>
        <w:tc>
          <w:tcPr>
            <w:tcW w:w="2480" w:type="dxa"/>
            <w:vAlign w:val="bottom"/>
          </w:tcPr>
          <w:p>
            <w:pPr>
              <w:jc w:val="center"/>
              <w:ind w:right="683"/>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240" w:type="dxa"/>
            <w:vAlign w:val="bottom"/>
          </w:tcPr>
          <w:p>
            <w:pPr>
              <w:ind w:left="74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4"/>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24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249"/>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3"/>
                <w:szCs w:val="13"/>
                <w:b w:val="1"/>
                <w:bCs w:val="1"/>
                <w:color w:val="auto"/>
                <w:w w:val="97"/>
              </w:rPr>
              <w:t>40 Erie Street, Suite 130</w:t>
            </w:r>
          </w:p>
        </w:tc>
        <w:tc>
          <w:tcPr>
            <w:tcW w:w="22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159"/>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3"/>
                <w:szCs w:val="13"/>
                <w:b w:val="1"/>
                <w:bCs w:val="1"/>
                <w:color w:val="auto"/>
                <w:w w:val="97"/>
              </w:rPr>
              <w:t>Cambridge, Massachusetts</w:t>
            </w:r>
          </w:p>
        </w:tc>
        <w:tc>
          <w:tcPr>
            <w:tcW w:w="2240" w:type="dxa"/>
            <w:vAlign w:val="bottom"/>
          </w:tcPr>
          <w:p>
            <w:pPr>
              <w:spacing w:after="0"/>
              <w:rPr>
                <w:sz w:val="13"/>
                <w:szCs w:val="13"/>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02139</w:t>
            </w:r>
          </w:p>
        </w:tc>
      </w:tr>
      <w:tr>
        <w:trPr>
          <w:trHeight w:val="132"/>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240" w:type="dxa"/>
            <w:vAlign w:val="bottom"/>
          </w:tcPr>
          <w:p>
            <w:pPr>
              <w:spacing w:after="0"/>
              <w:rPr>
                <w:sz w:val="11"/>
                <w:szCs w:val="11"/>
                <w:color w:val="auto"/>
              </w:rPr>
            </w:pP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(857) 285-6200</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68"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68"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68"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Common Stock (Par Value $0.0001)</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NTLA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5"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959"/>
        <w:spacing w:after="0" w:line="309" w:lineRule="auto"/>
        <w:rPr>
          <w:sz w:val="20"/>
          <w:szCs w:val="20"/>
          <w:color w:val="auto"/>
        </w:rPr>
      </w:pPr>
      <w:r>
        <w:rPr>
          <w:rFonts w:ascii="Times New Roman" w:cs="Times New Roman" w:eastAsia="Times New Roman" w:hAnsi="Times New Roman"/>
          <w:sz w:val="12"/>
          <w:szCs w:val="12"/>
          <w:color w:val="auto"/>
        </w:rPr>
        <w:t>On January 9, 2026, Intellia Therapeutics, Inc. (the “Company”) updated its corporate presentation for use in meetings with investors, analysts and others. A copy of the presentation is furnished as Exhibit 99.1 to this Current Report on Form 8-K and is incorporated herein by reference.</w:t>
      </w:r>
    </w:p>
    <w:p>
      <w:pPr>
        <w:spacing w:after="0" w:line="98" w:lineRule="exact"/>
        <w:rPr>
          <w:sz w:val="20"/>
          <w:szCs w:val="20"/>
          <w:color w:val="auto"/>
        </w:rPr>
      </w:pPr>
    </w:p>
    <w:p>
      <w:pPr>
        <w:ind w:left="640" w:right="839"/>
        <w:spacing w:after="0" w:line="288" w:lineRule="auto"/>
        <w:rPr>
          <w:sz w:val="20"/>
          <w:szCs w:val="20"/>
          <w:color w:val="auto"/>
        </w:rPr>
      </w:pPr>
      <w:r>
        <w:rPr>
          <w:rFonts w:ascii="Times New Roman" w:cs="Times New Roman" w:eastAsia="Times New Roman" w:hAnsi="Times New Roman"/>
          <w:sz w:val="12"/>
          <w:szCs w:val="12"/>
          <w:i w:val="1"/>
          <w:iCs w:val="1"/>
          <w:color w:val="auto"/>
        </w:rPr>
        <w:t>The information under this Item 7.01, including Exhibit 99.1 hereto, is being furnished herewith and shall not be deemed “filed” for the purposes of Section 18 of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214"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As the Company reported on October 27, 2025, Grade 4 liver transaminases and increased total bilirubin were reported in a patient who was dosed with nexiguran ziclumeran (“nex-z”) in the MAGNITUDE trial of nex-z for the treatment of transthyretin (“ATTR”) amyloidosis with cardiomyopathy (“ATTR-CM”). This case met the trial’s protocol-defined pausing criteria, and the United States Food and Drug Administration (the “FDA”) subsequently placed a clinical hold on the Investigational New Drug applications for the MAGNITUDE and MAGNITUDE-2 Phase 3 clinical trials of nex-z.</w:t>
      </w:r>
    </w:p>
    <w:p>
      <w:pPr>
        <w:spacing w:after="0" w:line="134"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As previously reported, the patient passed away on November 5, 2025. It was reported by the principal investigator that the patient died due to septic shock secondary to a perforated duodenal ulcer. The patient’s complicated clinical course also included acute liver injury and its treatment with corticosteroids. An autopsy report supported the clinical diagnoses.</w:t>
      </w:r>
    </w:p>
    <w:p>
      <w:pPr>
        <w:spacing w:after="0" w:line="13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To date, more than 650 patients with ATTR-CM are enrolled in MAGNITUDE, and 47 patients with hereditary ATTR amyloidosis with polyneuropathy (“ATTRv-PN”) are enrolled in MAGNITUDE-2. Grade 4 liver transaminase elevations have been reported in less than one percent of all patients enrolled in MAGNITUDE, and no Grade 4 liver transaminase elevations have been reported in MAGNITUDE-2. The onset of each of the Grade 4 events occurred within 3-5 weeks of dosing and, apart from the aforementioned case, resolved within several weeks of onset and without reported clinical sequelae.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Company plans to provide an update after it has finalized a plan with regulators on the path forward for nex-z.</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Forward-Looking Statements</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This Current Report on Form 8-K and certain of the materials furnished or filed herewith contain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w:t>
      </w:r>
    </w:p>
    <w:p>
      <w:pPr>
        <w:spacing w:after="0" w:line="133"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These forward-looking statements include, but are not limited to, express or implied statements regarding Intellia’s beliefs and expectations regarding: the safety, tolerability, efficacy, success and advancement of its clinical programs for nex-z for ATTR amyloidosis, including its MAGNITUDE Phase 3 study of nex-z for the treatment of ATTR-CM and its MAGNITUDE-2 Phase 3 study of nex-z for the treatment of ATTRv-PN; and its ability to resolve the clinical hold and finalize a plan with regulators on the path forward for nex-z.</w:t>
      </w:r>
    </w:p>
    <w:p>
      <w:pPr>
        <w:spacing w:after="0" w:line="133"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Any forward-looking statements in this current report on Form 8-K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risks related to Intellia’s ability to protect and maintain its intellectual property position; risks related to valid third party intellectual property; risks related to Intellia’s relationship with third parties, including its licensors and licensees; risks related to the ability of its licensors to protect and maintain their intellectual property position; uncertainties related to regulatory agencies’ evaluation of regulatory filings and other information related to our product candidates, including nex-z; uncertainties related to the authorization, initiation and conduct of studies and other development requirements for our product candidates, including uncertainties related to regulatory approvals to conduct clinical trials; the risk that any one or more of Intellia’s product candidates, including nex-z, will not be successfully developed and commercialized; the risk that the results of preclinical studies or clinical studies will not be predictive of future results in connection with future studies for the same product candidate or Intellia’s other product candidates; and risks related to Intellia’s reliance on collaborations, including that its collaboration with Regeneron Pharmaceuticals, Inc. will not continue or will not be successful. For a discussion of these and other risks and uncertainties, and other important factors, any of which could cause Intellia’s actual results to differ from those contained in the forward-looking statements, see the section entitled “Risk Factors”</w:t>
      </w:r>
    </w:p>
    <w:p>
      <w:pPr>
        <w:sectPr>
          <w:pgSz w:w="11900" w:h="16838" w:orient="portrait"/>
          <w:cols w:equalWidth="0" w:num="1">
            <w:col w:w="9019"/>
          </w:cols>
          <w:pgMar w:left="1440" w:top="248" w:right="1440" w:bottom="1440" w:gutter="0" w:footer="0" w:header="0"/>
        </w:sectPr>
      </w:pPr>
    </w:p>
    <w:bookmarkStart w:id="2" w:name="page3"/>
    <w:bookmarkEnd w:id="2"/>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in Intellia’s most recent annual report on Form 10-K and quarterly report on Form 10-Q, as well as discussions of potential risks, uncertainties, and other important factors in Intellia’s other filings with the Securities and Exchange Commission. All information in this current report on Form 8-K is as of the date of the report, and Intellia undertakes no duty to update this information unless required by law.</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Exhibit</w:t>
      </w:r>
    </w:p>
    <w:p>
      <w:pPr>
        <w:ind w:left="720"/>
        <w:spacing w:after="0"/>
        <w:tabs>
          <w:tab w:leader="none" w:pos="1220" w:val="left"/>
        </w:tabs>
        <w:rPr>
          <w:sz w:val="20"/>
          <w:szCs w:val="20"/>
          <w:color w:val="auto"/>
        </w:rPr>
      </w:pPr>
      <w:r>
        <w:rPr>
          <w:rFonts w:ascii="Times New Roman" w:cs="Times New Roman" w:eastAsia="Times New Roman" w:hAnsi="Times New Roman"/>
          <w:sz w:val="10"/>
          <w:szCs w:val="10"/>
          <w:color w:val="auto"/>
        </w:rPr>
        <w:t>No.</w:t>
      </w:r>
      <w:r>
        <w:rPr>
          <w:sz w:val="20"/>
          <w:szCs w:val="20"/>
          <w:color w:val="auto"/>
        </w:rPr>
        <w:tab/>
      </w:r>
      <w:r>
        <w:rPr>
          <w:rFonts w:ascii="Times New Roman" w:cs="Times New Roman" w:eastAsia="Times New Roman" w:hAnsi="Times New Roman"/>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1905</wp:posOffset>
            </wp:positionV>
            <wp:extent cx="192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405"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Corporate Presentation</w:t>
      </w:r>
    </w:p>
    <w:p>
      <w:pPr>
        <w:spacing w:after="0" w:line="78"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480" w:type="dxa"/>
            <w:vAlign w:val="bottom"/>
          </w:tcPr>
          <w:p>
            <w:pPr>
              <w:spacing w:after="0"/>
              <w:rPr>
                <w:sz w:val="14"/>
                <w:szCs w:val="14"/>
                <w:color w:val="auto"/>
              </w:rPr>
            </w:pPr>
          </w:p>
        </w:tc>
        <w:tc>
          <w:tcPr>
            <w:tcW w:w="5260" w:type="dxa"/>
            <w:vAlign w:val="bottom"/>
            <w:gridSpan w:val="2"/>
          </w:tcPr>
          <w:p>
            <w:pPr>
              <w:ind w:left="1400"/>
              <w:spacing w:after="0"/>
              <w:rPr>
                <w:sz w:val="20"/>
                <w:szCs w:val="20"/>
                <w:color w:val="auto"/>
              </w:rPr>
            </w:pPr>
            <w:r>
              <w:rPr>
                <w:rFonts w:ascii="Times New Roman" w:cs="Times New Roman" w:eastAsia="Times New Roman" w:hAnsi="Times New Roman"/>
                <w:sz w:val="13"/>
                <w:szCs w:val="13"/>
                <w:color w:val="auto"/>
              </w:rPr>
              <w:t>Intellia Therapeutics, Inc.</w:t>
            </w:r>
          </w:p>
        </w:tc>
      </w:tr>
      <w:tr>
        <w:trPr>
          <w:trHeight w:val="303"/>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Date: January 9, 2026</w:t>
            </w: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John M. Leonard</w:t>
            </w:r>
          </w:p>
        </w:tc>
      </w:tr>
      <w:tr>
        <w:trPr>
          <w:trHeight w:val="138"/>
        </w:trPr>
        <w:tc>
          <w:tcPr>
            <w:tcW w:w="2480" w:type="dxa"/>
            <w:vAlign w:val="bottom"/>
          </w:tcPr>
          <w:p>
            <w:pPr>
              <w:spacing w:after="0"/>
              <w:rPr>
                <w:sz w:val="11"/>
                <w:szCs w:val="11"/>
                <w:color w:val="auto"/>
              </w:rPr>
            </w:pPr>
          </w:p>
        </w:tc>
        <w:tc>
          <w:tcPr>
            <w:tcW w:w="1840" w:type="dxa"/>
            <w:vAlign w:val="bottom"/>
          </w:tcPr>
          <w:p>
            <w:pPr>
              <w:ind w:left="14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John M. Leonard</w:t>
            </w:r>
          </w:p>
        </w:tc>
      </w:tr>
      <w:tr>
        <w:trPr>
          <w:trHeight w:val="165"/>
        </w:trPr>
        <w:tc>
          <w:tcPr>
            <w:tcW w:w="2480" w:type="dxa"/>
            <w:vAlign w:val="bottom"/>
          </w:tcPr>
          <w:p>
            <w:pPr>
              <w:spacing w:after="0"/>
              <w:rPr>
                <w:sz w:val="14"/>
                <w:szCs w:val="14"/>
                <w:color w:val="auto"/>
              </w:rPr>
            </w:pP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 and President</w:t>
            </w:r>
          </w:p>
        </w:tc>
      </w:tr>
    </w:tbl>
    <w:p>
      <w:pPr>
        <w:sectPr>
          <w:pgSz w:w="11900" w:h="16838" w:orient="portrait"/>
          <w:cols w:equalWidth="0" w:num="1">
            <w:col w:w="9019"/>
          </w:cols>
          <w:pgMar w:left="1440" w:top="248"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2026-01-09T07:10:26Z</dcterms:created>
  <dcterms:modified xsi:type="dcterms:W3CDTF">2026-01-09T07:10:26Z</dcterms:modified>
</cp:coreProperties>
</file>