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1442085</wp:posOffset>
            </wp:positionH>
            <wp:positionV relativeFrom="page">
              <wp:posOffset>140335</wp:posOffset>
            </wp:positionV>
            <wp:extent cx="467804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78045" cy="5715"/>
                    </a:xfrm>
                    <a:prstGeom prst="rect">
                      <a:avLst/>
                    </a:prstGeom>
                    <a:noFill/>
                  </pic:spPr>
                </pic:pic>
              </a:graphicData>
            </a:graphic>
          </wp:anchor>
        </w:drawing>
        <w:drawing>
          <wp:anchor simplePos="0" relativeHeight="251657728" behindDoc="1" locked="0" layoutInCell="0" allowOverlap="1">
            <wp:simplePos x="0" y="0"/>
            <wp:positionH relativeFrom="page">
              <wp:posOffset>1442085</wp:posOffset>
            </wp:positionH>
            <wp:positionV relativeFrom="page">
              <wp:posOffset>168910</wp:posOffset>
            </wp:positionV>
            <wp:extent cx="467804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78045" cy="5715"/>
                    </a:xfrm>
                    <a:prstGeom prst="rect">
                      <a:avLst/>
                    </a:prstGeom>
                    <a:noFill/>
                  </pic:spPr>
                </pic:pic>
              </a:graphicData>
            </a:graphic>
          </wp:anchor>
        </w:drawing>
        <w:t>UNITED STATES</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2373630</wp:posOffset>
            </wp:positionH>
            <wp:positionV relativeFrom="paragraph">
              <wp:posOffset>157480</wp:posOffset>
            </wp:positionV>
            <wp:extent cx="98615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6155" cy="5715"/>
                    </a:xfrm>
                    <a:prstGeom prst="rect">
                      <a:avLst/>
                    </a:prstGeom>
                    <a:noFill/>
                  </pic:spPr>
                </pic:pic>
              </a:graphicData>
            </a:graphic>
          </wp:anchor>
        </w:drawing>
      </w:r>
    </w:p>
    <w:p>
      <w:pPr>
        <w:spacing w:after="0" w:line="35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2373630</wp:posOffset>
            </wp:positionH>
            <wp:positionV relativeFrom="paragraph">
              <wp:posOffset>160655</wp:posOffset>
            </wp:positionV>
            <wp:extent cx="98615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6155" cy="5715"/>
                    </a:xfrm>
                    <a:prstGeom prst="rect">
                      <a:avLst/>
                    </a:prstGeom>
                    <a:noFill/>
                  </pic:spPr>
                </pic:pic>
              </a:graphicData>
            </a:graphic>
          </wp:anchor>
        </w:drawing>
      </w:r>
    </w:p>
    <w:p>
      <w:pPr>
        <w:spacing w:after="0" w:line="36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CURRENT REPORT</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Pursuant to Section 13 or 15(d)</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of the Securities Exchange Act of 1934</w:t>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Date of Report (Date of Earliest Event Reported): January 7,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2373630</wp:posOffset>
            </wp:positionH>
            <wp:positionV relativeFrom="paragraph">
              <wp:posOffset>161925</wp:posOffset>
            </wp:positionV>
            <wp:extent cx="98615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6155" cy="5715"/>
                    </a:xfrm>
                    <a:prstGeom prst="rect">
                      <a:avLst/>
                    </a:prstGeom>
                    <a:noFill/>
                  </pic:spPr>
                </pic:pic>
              </a:graphicData>
            </a:graphic>
          </wp:anchor>
        </w:drawing>
      </w:r>
    </w:p>
    <w:p>
      <w:pPr>
        <w:spacing w:after="0" w:line="36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INTELLIA THERAPEUTICS, INC.</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2373630</wp:posOffset>
            </wp:positionH>
            <wp:positionV relativeFrom="paragraph">
              <wp:posOffset>158115</wp:posOffset>
            </wp:positionV>
            <wp:extent cx="98615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6155" cy="5715"/>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tbl>
      <w:tblPr>
        <w:tblLayout w:type="fixed"/>
        <w:tblInd w:w="1540" w:type="dxa"/>
        <w:tblCellMar>
          <w:top w:w="0" w:type="dxa"/>
          <w:left w:w="0" w:type="dxa"/>
          <w:bottom w:w="0" w:type="dxa"/>
          <w:right w:w="0" w:type="dxa"/>
        </w:tblCellMar>
      </w:tblPr>
      <w:tr>
        <w:trPr>
          <w:trHeight w:val="143"/>
        </w:trPr>
        <w:tc>
          <w:tcPr>
            <w:tcW w:w="2660" w:type="dxa"/>
            <w:vAlign w:val="bottom"/>
          </w:tcPr>
          <w:p>
            <w:pPr>
              <w:jc w:val="center"/>
              <w:ind w:right="1526"/>
              <w:spacing w:after="0"/>
              <w:rPr>
                <w:sz w:val="20"/>
                <w:szCs w:val="20"/>
                <w:color w:val="auto"/>
              </w:rPr>
            </w:pPr>
            <w:r>
              <w:rPr>
                <w:rFonts w:ascii="Arial" w:cs="Arial" w:eastAsia="Arial" w:hAnsi="Arial"/>
                <w:sz w:val="12"/>
                <w:szCs w:val="12"/>
                <w:b w:val="1"/>
                <w:bCs w:val="1"/>
                <w:color w:val="auto"/>
                <w:w w:val="91"/>
              </w:rPr>
              <w:t>Delaware</w:t>
            </w:r>
          </w:p>
        </w:tc>
        <w:tc>
          <w:tcPr>
            <w:tcW w:w="1560" w:type="dxa"/>
            <w:vAlign w:val="bottom"/>
          </w:tcPr>
          <w:p>
            <w:pPr>
              <w:ind w:left="140"/>
              <w:spacing w:after="0"/>
              <w:rPr>
                <w:sz w:val="20"/>
                <w:szCs w:val="20"/>
                <w:color w:val="auto"/>
              </w:rPr>
            </w:pPr>
            <w:r>
              <w:rPr>
                <w:rFonts w:ascii="Arial" w:cs="Arial" w:eastAsia="Arial" w:hAnsi="Arial"/>
                <w:sz w:val="12"/>
                <w:szCs w:val="12"/>
                <w:b w:val="1"/>
                <w:bCs w:val="1"/>
                <w:color w:val="auto"/>
              </w:rPr>
              <w:t>001-37766</w:t>
            </w:r>
          </w:p>
        </w:tc>
        <w:tc>
          <w:tcPr>
            <w:tcW w:w="1640" w:type="dxa"/>
            <w:vAlign w:val="bottom"/>
          </w:tcPr>
          <w:p>
            <w:pPr>
              <w:jc w:val="right"/>
              <w:ind w:right="27"/>
              <w:spacing w:after="0"/>
              <w:rPr>
                <w:sz w:val="20"/>
                <w:szCs w:val="20"/>
                <w:color w:val="auto"/>
              </w:rPr>
            </w:pPr>
            <w:r>
              <w:rPr>
                <w:rFonts w:ascii="Arial" w:cs="Arial" w:eastAsia="Arial" w:hAnsi="Arial"/>
                <w:sz w:val="12"/>
                <w:szCs w:val="12"/>
                <w:b w:val="1"/>
                <w:bCs w:val="1"/>
                <w:color w:val="auto"/>
              </w:rPr>
              <w:t>36-4785571</w:t>
            </w:r>
          </w:p>
        </w:tc>
      </w:tr>
      <w:tr>
        <w:trPr>
          <w:trHeight w:val="99"/>
        </w:trPr>
        <w:tc>
          <w:tcPr>
            <w:tcW w:w="2660" w:type="dxa"/>
            <w:vAlign w:val="bottom"/>
          </w:tcPr>
          <w:p>
            <w:pPr>
              <w:jc w:val="center"/>
              <w:ind w:right="1506"/>
              <w:spacing w:after="0" w:line="100" w:lineRule="exact"/>
              <w:rPr>
                <w:sz w:val="20"/>
                <w:szCs w:val="20"/>
                <w:color w:val="auto"/>
              </w:rPr>
            </w:pPr>
            <w:r>
              <w:rPr>
                <w:rFonts w:ascii="Arial" w:cs="Arial" w:eastAsia="Arial" w:hAnsi="Arial"/>
                <w:sz w:val="10"/>
                <w:szCs w:val="10"/>
                <w:b w:val="1"/>
                <w:bCs w:val="1"/>
                <w:color w:val="auto"/>
                <w:w w:val="87"/>
              </w:rPr>
              <w:t>(State or other jurisdiction</w:t>
            </w:r>
          </w:p>
        </w:tc>
        <w:tc>
          <w:tcPr>
            <w:tcW w:w="1560" w:type="dxa"/>
            <w:vAlign w:val="bottom"/>
          </w:tcPr>
          <w:p>
            <w:pPr>
              <w:ind w:left="120"/>
              <w:spacing w:after="0" w:line="100" w:lineRule="exact"/>
              <w:rPr>
                <w:sz w:val="20"/>
                <w:szCs w:val="20"/>
                <w:color w:val="auto"/>
              </w:rPr>
            </w:pPr>
            <w:r>
              <w:rPr>
                <w:rFonts w:ascii="Arial" w:cs="Arial" w:eastAsia="Arial" w:hAnsi="Arial"/>
                <w:sz w:val="10"/>
                <w:szCs w:val="10"/>
                <w:b w:val="1"/>
                <w:bCs w:val="1"/>
                <w:color w:val="auto"/>
              </w:rPr>
              <w:t>(Commission</w:t>
            </w:r>
          </w:p>
        </w:tc>
        <w:tc>
          <w:tcPr>
            <w:tcW w:w="1640" w:type="dxa"/>
            <w:vAlign w:val="bottom"/>
          </w:tcPr>
          <w:p>
            <w:pPr>
              <w:jc w:val="center"/>
              <w:ind w:left="827"/>
              <w:spacing w:after="0" w:line="100" w:lineRule="exact"/>
              <w:rPr>
                <w:sz w:val="20"/>
                <w:szCs w:val="20"/>
                <w:color w:val="auto"/>
              </w:rPr>
            </w:pPr>
            <w:r>
              <w:rPr>
                <w:rFonts w:ascii="Arial" w:cs="Arial" w:eastAsia="Arial" w:hAnsi="Arial"/>
                <w:sz w:val="10"/>
                <w:szCs w:val="10"/>
                <w:b w:val="1"/>
                <w:bCs w:val="1"/>
                <w:color w:val="auto"/>
                <w:w w:val="88"/>
              </w:rPr>
              <w:t>(I.R.S. Employer</w:t>
            </w:r>
          </w:p>
        </w:tc>
      </w:tr>
      <w:tr>
        <w:trPr>
          <w:trHeight w:val="124"/>
        </w:trPr>
        <w:tc>
          <w:tcPr>
            <w:tcW w:w="2660" w:type="dxa"/>
            <w:vAlign w:val="bottom"/>
          </w:tcPr>
          <w:p>
            <w:pPr>
              <w:jc w:val="center"/>
              <w:ind w:right="1526"/>
              <w:spacing w:after="0"/>
              <w:rPr>
                <w:sz w:val="20"/>
                <w:szCs w:val="20"/>
                <w:color w:val="auto"/>
              </w:rPr>
            </w:pPr>
            <w:r>
              <w:rPr>
                <w:rFonts w:ascii="Arial" w:cs="Arial" w:eastAsia="Arial" w:hAnsi="Arial"/>
                <w:sz w:val="10"/>
                <w:szCs w:val="10"/>
                <w:b w:val="1"/>
                <w:bCs w:val="1"/>
                <w:color w:val="auto"/>
                <w:w w:val="89"/>
              </w:rPr>
              <w:t>of incorporation)</w:t>
            </w:r>
          </w:p>
        </w:tc>
        <w:tc>
          <w:tcPr>
            <w:tcW w:w="1560" w:type="dxa"/>
            <w:vAlign w:val="bottom"/>
          </w:tcPr>
          <w:p>
            <w:pPr>
              <w:ind w:left="120"/>
              <w:spacing w:after="0"/>
              <w:rPr>
                <w:sz w:val="20"/>
                <w:szCs w:val="20"/>
                <w:color w:val="auto"/>
              </w:rPr>
            </w:pPr>
            <w:r>
              <w:rPr>
                <w:rFonts w:ascii="Arial" w:cs="Arial" w:eastAsia="Arial" w:hAnsi="Arial"/>
                <w:sz w:val="10"/>
                <w:szCs w:val="10"/>
                <w:b w:val="1"/>
                <w:bCs w:val="1"/>
                <w:color w:val="auto"/>
              </w:rPr>
              <w:t>File Number)</w:t>
            </w:r>
          </w:p>
        </w:tc>
        <w:tc>
          <w:tcPr>
            <w:tcW w:w="1640" w:type="dxa"/>
            <w:vAlign w:val="bottom"/>
          </w:tcPr>
          <w:p>
            <w:pPr>
              <w:jc w:val="center"/>
              <w:ind w:left="827"/>
              <w:spacing w:after="0"/>
              <w:rPr>
                <w:sz w:val="20"/>
                <w:szCs w:val="20"/>
                <w:color w:val="auto"/>
              </w:rPr>
            </w:pPr>
            <w:r>
              <w:rPr>
                <w:rFonts w:ascii="Arial" w:cs="Arial" w:eastAsia="Arial" w:hAnsi="Arial"/>
                <w:sz w:val="10"/>
                <w:szCs w:val="10"/>
                <w:b w:val="1"/>
                <w:bCs w:val="1"/>
                <w:color w:val="auto"/>
                <w:w w:val="89"/>
              </w:rPr>
              <w:t>Identification No.)</w:t>
            </w:r>
          </w:p>
        </w:tc>
      </w:tr>
      <w:tr>
        <w:trPr>
          <w:trHeight w:val="275"/>
        </w:trPr>
        <w:tc>
          <w:tcPr>
            <w:tcW w:w="2660" w:type="dxa"/>
            <w:vAlign w:val="bottom"/>
          </w:tcPr>
          <w:p>
            <w:pPr>
              <w:jc w:val="center"/>
              <w:ind w:left="806"/>
              <w:spacing w:after="0"/>
              <w:rPr>
                <w:sz w:val="20"/>
                <w:szCs w:val="20"/>
                <w:color w:val="auto"/>
              </w:rPr>
            </w:pPr>
            <w:r>
              <w:rPr>
                <w:rFonts w:ascii="Arial" w:cs="Arial" w:eastAsia="Arial" w:hAnsi="Arial"/>
                <w:sz w:val="12"/>
                <w:szCs w:val="12"/>
                <w:b w:val="1"/>
                <w:bCs w:val="1"/>
                <w:color w:val="auto"/>
                <w:w w:val="91"/>
              </w:rPr>
              <w:t>40 Erie Street, Suite 130</w:t>
            </w:r>
          </w:p>
        </w:tc>
        <w:tc>
          <w:tcPr>
            <w:tcW w:w="156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152"/>
        </w:trPr>
        <w:tc>
          <w:tcPr>
            <w:tcW w:w="2660" w:type="dxa"/>
            <w:vAlign w:val="bottom"/>
          </w:tcPr>
          <w:p>
            <w:pPr>
              <w:jc w:val="center"/>
              <w:ind w:left="806"/>
              <w:spacing w:after="0"/>
              <w:rPr>
                <w:sz w:val="20"/>
                <w:szCs w:val="20"/>
                <w:color w:val="auto"/>
              </w:rPr>
            </w:pPr>
            <w:r>
              <w:rPr>
                <w:rFonts w:ascii="Arial" w:cs="Arial" w:eastAsia="Arial" w:hAnsi="Arial"/>
                <w:sz w:val="12"/>
                <w:szCs w:val="12"/>
                <w:b w:val="1"/>
                <w:bCs w:val="1"/>
                <w:color w:val="auto"/>
                <w:w w:val="90"/>
              </w:rPr>
              <w:t>Cambridge, Massachusetts</w:t>
            </w:r>
          </w:p>
        </w:tc>
        <w:tc>
          <w:tcPr>
            <w:tcW w:w="1560" w:type="dxa"/>
            <w:vAlign w:val="bottom"/>
          </w:tcPr>
          <w:p>
            <w:pPr>
              <w:spacing w:after="0"/>
              <w:rPr>
                <w:sz w:val="13"/>
                <w:szCs w:val="13"/>
                <w:color w:val="auto"/>
              </w:rPr>
            </w:pPr>
          </w:p>
        </w:tc>
        <w:tc>
          <w:tcPr>
            <w:tcW w:w="1640" w:type="dxa"/>
            <w:vAlign w:val="bottom"/>
          </w:tcPr>
          <w:p>
            <w:pPr>
              <w:jc w:val="right"/>
              <w:ind w:right="187"/>
              <w:spacing w:after="0"/>
              <w:rPr>
                <w:sz w:val="20"/>
                <w:szCs w:val="20"/>
                <w:color w:val="auto"/>
              </w:rPr>
            </w:pPr>
            <w:r>
              <w:rPr>
                <w:rFonts w:ascii="Arial" w:cs="Arial" w:eastAsia="Arial" w:hAnsi="Arial"/>
                <w:sz w:val="12"/>
                <w:szCs w:val="12"/>
                <w:b w:val="1"/>
                <w:bCs w:val="1"/>
                <w:color w:val="auto"/>
              </w:rPr>
              <w:t>02139</w:t>
            </w:r>
          </w:p>
        </w:tc>
      </w:tr>
      <w:tr>
        <w:trPr>
          <w:trHeight w:val="124"/>
        </w:trPr>
        <w:tc>
          <w:tcPr>
            <w:tcW w:w="2660" w:type="dxa"/>
            <w:vAlign w:val="bottom"/>
          </w:tcPr>
          <w:p>
            <w:pPr>
              <w:jc w:val="center"/>
              <w:ind w:left="806"/>
              <w:spacing w:after="0"/>
              <w:rPr>
                <w:sz w:val="20"/>
                <w:szCs w:val="20"/>
                <w:color w:val="auto"/>
              </w:rPr>
            </w:pPr>
            <w:r>
              <w:rPr>
                <w:rFonts w:ascii="Arial" w:cs="Arial" w:eastAsia="Arial" w:hAnsi="Arial"/>
                <w:sz w:val="10"/>
                <w:szCs w:val="10"/>
                <w:b w:val="1"/>
                <w:bCs w:val="1"/>
                <w:color w:val="auto"/>
                <w:w w:val="85"/>
              </w:rPr>
              <w:t>(Address of principal executive offices)</w:t>
            </w:r>
          </w:p>
        </w:tc>
        <w:tc>
          <w:tcPr>
            <w:tcW w:w="1560" w:type="dxa"/>
            <w:vAlign w:val="bottom"/>
          </w:tcPr>
          <w:p>
            <w:pPr>
              <w:spacing w:after="0"/>
              <w:rPr>
                <w:sz w:val="10"/>
                <w:szCs w:val="10"/>
                <w:color w:val="auto"/>
              </w:rPr>
            </w:pPr>
          </w:p>
        </w:tc>
        <w:tc>
          <w:tcPr>
            <w:tcW w:w="1640" w:type="dxa"/>
            <w:vAlign w:val="bottom"/>
          </w:tcPr>
          <w:p>
            <w:pPr>
              <w:jc w:val="center"/>
              <w:ind w:left="827"/>
              <w:spacing w:after="0"/>
              <w:rPr>
                <w:sz w:val="20"/>
                <w:szCs w:val="20"/>
                <w:color w:val="auto"/>
              </w:rPr>
            </w:pPr>
            <w:r>
              <w:rPr>
                <w:rFonts w:ascii="Arial" w:cs="Arial" w:eastAsia="Arial" w:hAnsi="Arial"/>
                <w:sz w:val="10"/>
                <w:szCs w:val="10"/>
                <w:b w:val="1"/>
                <w:bCs w:val="1"/>
                <w:color w:val="auto"/>
                <w:w w:val="88"/>
              </w:rPr>
              <w:t>(Zip Code)</w:t>
            </w:r>
          </w:p>
        </w:tc>
      </w:tr>
    </w:tbl>
    <w:p>
      <w:pPr>
        <w:spacing w:after="0" w:line="122"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Registrant’s telephone number, including area code: (857) 285-6200</w:t>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Not Applicable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2373630</wp:posOffset>
            </wp:positionH>
            <wp:positionV relativeFrom="paragraph">
              <wp:posOffset>148590</wp:posOffset>
            </wp:positionV>
            <wp:extent cx="98615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86155" cy="5715"/>
                    </a:xfrm>
                    <a:prstGeom prst="rect">
                      <a:avLst/>
                    </a:prstGeom>
                    <a:noFill/>
                  </pic:spPr>
                </pic:pic>
              </a:graphicData>
            </a:graphic>
          </wp:anchor>
        </w:drawing>
      </w:r>
    </w:p>
    <w:p>
      <w:pPr>
        <w:spacing w:after="0" w:line="358" w:lineRule="exact"/>
        <w:rPr>
          <w:sz w:val="24"/>
          <w:szCs w:val="24"/>
          <w:color w:val="auto"/>
        </w:rPr>
      </w:pPr>
    </w:p>
    <w:p>
      <w:pPr>
        <w:ind w:left="840" w:right="1139"/>
        <w:spacing w:after="0" w:line="277" w:lineRule="auto"/>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52" w:lineRule="exact"/>
        <w:rPr>
          <w:sz w:val="24"/>
          <w:szCs w:val="24"/>
          <w:color w:val="auto"/>
        </w:rPr>
      </w:pPr>
    </w:p>
    <w:p>
      <w:pPr>
        <w:ind w:left="1120" w:hanging="289"/>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87" w:lineRule="exact"/>
        <w:rPr>
          <w:rFonts w:ascii="MS PGothic" w:cs="MS PGothic" w:eastAsia="MS PGothic" w:hAnsi="MS PGothic"/>
          <w:sz w:val="12"/>
          <w:szCs w:val="12"/>
          <w:color w:val="auto"/>
        </w:rPr>
      </w:pPr>
    </w:p>
    <w:p>
      <w:pPr>
        <w:ind w:left="1120" w:hanging="289"/>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87" w:lineRule="exact"/>
        <w:rPr>
          <w:rFonts w:ascii="MS PGothic" w:cs="MS PGothic" w:eastAsia="MS PGothic" w:hAnsi="MS PGothic"/>
          <w:sz w:val="12"/>
          <w:szCs w:val="12"/>
          <w:color w:val="auto"/>
        </w:rPr>
      </w:pPr>
    </w:p>
    <w:p>
      <w:pPr>
        <w:ind w:left="1120" w:hanging="289"/>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87" w:lineRule="exact"/>
        <w:rPr>
          <w:rFonts w:ascii="MS PGothic" w:cs="MS PGothic" w:eastAsia="MS PGothic" w:hAnsi="MS PGothic"/>
          <w:sz w:val="12"/>
          <w:szCs w:val="12"/>
          <w:color w:val="auto"/>
        </w:rPr>
      </w:pPr>
    </w:p>
    <w:p>
      <w:pPr>
        <w:ind w:left="1120" w:hanging="289"/>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151" w:lineRule="exact"/>
        <w:rPr>
          <w:sz w:val="24"/>
          <w:szCs w:val="24"/>
          <w:color w:val="auto"/>
        </w:rPr>
      </w:pPr>
    </w:p>
    <w:p>
      <w:pPr>
        <w:ind w:left="840" w:right="879"/>
        <w:spacing w:after="0" w:line="277"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or Rule 12b-2 of the Securities Exchange Act of 1934.</w:t>
      </w:r>
    </w:p>
    <w:p>
      <w:pPr>
        <w:spacing w:after="0" w:line="92" w:lineRule="exact"/>
        <w:rPr>
          <w:sz w:val="24"/>
          <w:szCs w:val="24"/>
          <w:color w:val="auto"/>
        </w:rPr>
      </w:pPr>
    </w:p>
    <w:p>
      <w:pPr>
        <w:ind w:left="840"/>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173" w:lineRule="exact"/>
        <w:rPr>
          <w:sz w:val="24"/>
          <w:szCs w:val="24"/>
          <w:color w:val="auto"/>
        </w:rPr>
      </w:pPr>
    </w:p>
    <w:p>
      <w:pPr>
        <w:ind w:left="840" w:right="1019"/>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527685</wp:posOffset>
            </wp:positionH>
            <wp:positionV relativeFrom="paragraph">
              <wp:posOffset>90170</wp:posOffset>
            </wp:positionV>
            <wp:extent cx="467804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678045" cy="571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118745</wp:posOffset>
            </wp:positionV>
            <wp:extent cx="467804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78045" cy="5715"/>
                    </a:xfrm>
                    <a:prstGeom prst="rect">
                      <a:avLst/>
                    </a:prstGeom>
                    <a:noFill/>
                  </pic:spPr>
                </pic:pic>
              </a:graphicData>
            </a:graphic>
          </wp:anchor>
        </w:drawing>
      </w:r>
    </w:p>
    <w:p>
      <w:pPr>
        <w:sectPr>
          <w:pgSz w:w="11900" w:h="16838" w:orient="portrait"/>
          <w:cols w:equalWidth="0" w:num="1">
            <w:col w:w="9019"/>
          </w:cols>
          <w:pgMar w:left="1440" w:top="293" w:right="1440" w:bottom="1440" w:gutter="0" w:footer="0" w:header="0"/>
        </w:sectPr>
      </w:pPr>
    </w:p>
    <w:bookmarkStart w:id="1" w:name="page2"/>
    <w:bookmarkEnd w:id="1"/>
    <w:p>
      <w:pPr>
        <w:ind w:left="840"/>
        <w:spacing w:after="0"/>
        <w:tabs>
          <w:tab w:leader="none" w:pos="1540" w:val="left"/>
        </w:tabs>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29170" cy="29845"/>
                    </a:xfrm>
                    <a:prstGeom prst="rect">
                      <a:avLst/>
                    </a:prstGeom>
                    <a:noFill/>
                  </pic:spPr>
                </pic:pic>
              </a:graphicData>
            </a:graphic>
          </wp:anchor>
        </w:drawing>
        <w:t>Item 2.02</w:t>
      </w:r>
      <w:r>
        <w:rPr>
          <w:sz w:val="20"/>
          <w:szCs w:val="20"/>
          <w:color w:val="auto"/>
        </w:rPr>
        <w:tab/>
      </w:r>
      <w:r>
        <w:rPr>
          <w:rFonts w:ascii="Arial" w:cs="Arial" w:eastAsia="Arial" w:hAnsi="Arial"/>
          <w:sz w:val="10"/>
          <w:szCs w:val="10"/>
          <w:b w:val="1"/>
          <w:bCs w:val="1"/>
          <w:color w:val="auto"/>
        </w:rPr>
        <w:t>Results of Operations and Financial Condition.</w:t>
      </w:r>
    </w:p>
    <w:p>
      <w:pPr>
        <w:spacing w:after="0" w:line="83" w:lineRule="exact"/>
        <w:rPr>
          <w:sz w:val="20"/>
          <w:szCs w:val="20"/>
          <w:color w:val="auto"/>
        </w:rPr>
      </w:pPr>
    </w:p>
    <w:p>
      <w:pPr>
        <w:ind w:left="840" w:right="1019"/>
        <w:spacing w:after="0" w:line="264" w:lineRule="auto"/>
        <w:rPr>
          <w:sz w:val="20"/>
          <w:szCs w:val="20"/>
          <w:color w:val="auto"/>
        </w:rPr>
      </w:pPr>
      <w:r>
        <w:rPr>
          <w:rFonts w:ascii="Arial" w:cs="Arial" w:eastAsia="Arial" w:hAnsi="Arial"/>
          <w:sz w:val="12"/>
          <w:szCs w:val="12"/>
          <w:color w:val="auto"/>
        </w:rPr>
        <w:t>Although it has not finalized its full financial results for the fourth quarter and fiscal year ended December 31, 2018, Intellia Therapeutics, Inc. (the “Company”) announced on January 7, 2019, that it expects to report that it had approximately $314 million of cash, cash equivalents and marketable securities as of December 31, 2018.</w:t>
      </w:r>
    </w:p>
    <w:p>
      <w:pPr>
        <w:spacing w:after="0" w:line="122" w:lineRule="exact"/>
        <w:rPr>
          <w:sz w:val="20"/>
          <w:szCs w:val="20"/>
          <w:color w:val="auto"/>
        </w:rPr>
      </w:pPr>
    </w:p>
    <w:p>
      <w:pPr>
        <w:ind w:left="840" w:right="879"/>
        <w:spacing w:after="0" w:line="260" w:lineRule="auto"/>
        <w:rPr>
          <w:sz w:val="20"/>
          <w:szCs w:val="20"/>
          <w:color w:val="auto"/>
        </w:rPr>
      </w:pPr>
      <w:r>
        <w:rPr>
          <w:rFonts w:ascii="Arial" w:cs="Arial" w:eastAsia="Arial" w:hAnsi="Arial"/>
          <w:sz w:val="12"/>
          <w:szCs w:val="12"/>
          <w:color w:val="auto"/>
        </w:rPr>
        <w:t>The information contained in Item 2.02 of this Form 8-K is unaudited and preliminary and does not present all information necessary for an understanding of the Company’s financial condition as of December 31, 2018 and its results of operations for the three months and year ended December 31, 2018. The audit of the Company’s consolidated financial statements for the year ended December 31, 2018 is ongoing and could result in changes to the information set forth above.</w:t>
      </w:r>
    </w:p>
    <w:p>
      <w:pPr>
        <w:spacing w:after="0" w:line="124" w:lineRule="exact"/>
        <w:rPr>
          <w:sz w:val="20"/>
          <w:szCs w:val="20"/>
          <w:color w:val="auto"/>
        </w:rPr>
      </w:pPr>
    </w:p>
    <w:p>
      <w:pPr>
        <w:ind w:left="840" w:right="899"/>
        <w:spacing w:after="0" w:line="260" w:lineRule="auto"/>
        <w:rPr>
          <w:sz w:val="20"/>
          <w:szCs w:val="20"/>
          <w:color w:val="auto"/>
        </w:rPr>
      </w:pPr>
      <w:r>
        <w:rPr>
          <w:rFonts w:ascii="Arial" w:cs="Arial" w:eastAsia="Arial" w:hAnsi="Arial"/>
          <w:sz w:val="12"/>
          <w:szCs w:val="12"/>
          <w:color w:val="auto"/>
        </w:rPr>
        <w:t>The information in this Item 2.02 is being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(the “Securities Act”), or the Exchange Act, except as expressly set forth by specific reference in such a filing.</w:t>
      </w:r>
    </w:p>
    <w:p>
      <w:pPr>
        <w:spacing w:after="0" w:line="220" w:lineRule="exact"/>
        <w:rPr>
          <w:sz w:val="20"/>
          <w:szCs w:val="20"/>
          <w:color w:val="auto"/>
        </w:rPr>
      </w:pPr>
    </w:p>
    <w:p>
      <w:pPr>
        <w:ind w:left="840"/>
        <w:spacing w:after="0"/>
        <w:tabs>
          <w:tab w:leader="none" w:pos="1540" w:val="left"/>
        </w:tabs>
        <w:rPr>
          <w:sz w:val="20"/>
          <w:szCs w:val="20"/>
          <w:color w:val="auto"/>
        </w:rPr>
      </w:pPr>
      <w:r>
        <w:rPr>
          <w:rFonts w:ascii="Arial" w:cs="Arial" w:eastAsia="Arial" w:hAnsi="Arial"/>
          <w:sz w:val="12"/>
          <w:szCs w:val="12"/>
          <w:b w:val="1"/>
          <w:bCs w:val="1"/>
          <w:color w:val="auto"/>
        </w:rPr>
        <w:t>Item 7.01</w:t>
      </w:r>
      <w:r>
        <w:rPr>
          <w:sz w:val="20"/>
          <w:szCs w:val="20"/>
          <w:color w:val="auto"/>
        </w:rPr>
        <w:tab/>
      </w:r>
      <w:r>
        <w:rPr>
          <w:rFonts w:ascii="Arial" w:cs="Arial" w:eastAsia="Arial" w:hAnsi="Arial"/>
          <w:sz w:val="10"/>
          <w:szCs w:val="10"/>
          <w:b w:val="1"/>
          <w:bCs w:val="1"/>
          <w:color w:val="auto"/>
        </w:rPr>
        <w:t>Regulation FD Disclosure.</w:t>
      </w:r>
    </w:p>
    <w:p>
      <w:pPr>
        <w:spacing w:after="0" w:line="83" w:lineRule="exact"/>
        <w:rPr>
          <w:sz w:val="20"/>
          <w:szCs w:val="20"/>
          <w:color w:val="auto"/>
        </w:rPr>
      </w:pPr>
    </w:p>
    <w:p>
      <w:pPr>
        <w:ind w:left="840" w:right="919"/>
        <w:spacing w:after="0" w:line="260" w:lineRule="auto"/>
        <w:rPr>
          <w:sz w:val="20"/>
          <w:szCs w:val="20"/>
          <w:color w:val="auto"/>
        </w:rPr>
      </w:pPr>
      <w:r>
        <w:rPr>
          <w:rFonts w:ascii="Arial" w:cs="Arial" w:eastAsia="Arial" w:hAnsi="Arial"/>
          <w:sz w:val="12"/>
          <w:szCs w:val="12"/>
          <w:color w:val="auto"/>
        </w:rPr>
        <w:t>Commencing on the week of January 7, 2019, the Company intends to meet with, and present to, current and potential investors and other stakeholders regarding its business, scientific and financial accomplishments and plans. A form of the slide presentation that will be used at these meetings is being furnished as Exhibit 99.1 to this Current Report on Form 8-K. The Company undertakes no obligation to update, supplement or amend the materials attached hereto as Exhibit 99.1.</w:t>
      </w:r>
    </w:p>
    <w:p>
      <w:pPr>
        <w:spacing w:after="0" w:line="124" w:lineRule="exact"/>
        <w:rPr>
          <w:sz w:val="20"/>
          <w:szCs w:val="20"/>
          <w:color w:val="auto"/>
        </w:rPr>
      </w:pPr>
    </w:p>
    <w:p>
      <w:pPr>
        <w:jc w:val="both"/>
        <w:ind w:left="840" w:right="859"/>
        <w:spacing w:after="0" w:line="299" w:lineRule="auto"/>
        <w:rPr>
          <w:sz w:val="20"/>
          <w:szCs w:val="20"/>
          <w:color w:val="auto"/>
        </w:rPr>
      </w:pPr>
      <w:r>
        <w:rPr>
          <w:rFonts w:ascii="Arial" w:cs="Arial" w:eastAsia="Arial" w:hAnsi="Arial"/>
          <w:sz w:val="11"/>
          <w:szCs w:val="11"/>
          <w:color w:val="auto"/>
        </w:rPr>
        <w:t>The information responsive to Item 7.01 of this Form 8-K, including Exhibit 99.1 attached hereto, is being furnished and shall not be deemed “filed” for purposes of Section 18 of the Exchange Act or otherwise subject to the liabilities of that section, nor shall it be deemed incorporated by reference in any filing under the Securities Act or the Exchange Act, except as expressly set forth by specific reference in such a filing.</w:t>
      </w:r>
    </w:p>
    <w:p>
      <w:pPr>
        <w:spacing w:after="0" w:line="200" w:lineRule="exact"/>
        <w:rPr>
          <w:sz w:val="20"/>
          <w:szCs w:val="20"/>
          <w:color w:val="auto"/>
        </w:rPr>
      </w:pPr>
    </w:p>
    <w:p>
      <w:pPr>
        <w:ind w:left="840"/>
        <w:spacing w:after="0"/>
        <w:tabs>
          <w:tab w:leader="none" w:pos="1540" w:val="left"/>
        </w:tabs>
        <w:rPr>
          <w:sz w:val="20"/>
          <w:szCs w:val="20"/>
          <w:color w:val="auto"/>
        </w:rPr>
      </w:pPr>
      <w:r>
        <w:rPr>
          <w:rFonts w:ascii="Arial" w:cs="Arial" w:eastAsia="Arial" w:hAnsi="Arial"/>
          <w:sz w:val="12"/>
          <w:szCs w:val="12"/>
          <w:b w:val="1"/>
          <w:bCs w:val="1"/>
          <w:color w:val="auto"/>
        </w:rPr>
        <w:t>Item 9.01.</w:t>
      </w:r>
      <w:r>
        <w:rPr>
          <w:sz w:val="20"/>
          <w:szCs w:val="20"/>
          <w:color w:val="auto"/>
        </w:rPr>
        <w:tab/>
      </w:r>
      <w:r>
        <w:rPr>
          <w:rFonts w:ascii="Arial" w:cs="Arial" w:eastAsia="Arial" w:hAnsi="Arial"/>
          <w:sz w:val="10"/>
          <w:szCs w:val="10"/>
          <w:b w:val="1"/>
          <w:bCs w:val="1"/>
          <w:color w:val="auto"/>
        </w:rPr>
        <w:t>Financial Statements and Exhibits.</w:t>
      </w:r>
    </w:p>
    <w:p>
      <w:pPr>
        <w:spacing w:after="0" w:line="83" w:lineRule="exact"/>
        <w:rPr>
          <w:sz w:val="20"/>
          <w:szCs w:val="20"/>
          <w:color w:val="auto"/>
        </w:rPr>
      </w:pPr>
    </w:p>
    <w:p>
      <w:pPr>
        <w:ind w:left="840"/>
        <w:spacing w:after="0"/>
        <w:rPr>
          <w:sz w:val="20"/>
          <w:szCs w:val="20"/>
          <w:color w:val="auto"/>
        </w:rPr>
      </w:pPr>
      <w:r>
        <w:rPr>
          <w:rFonts w:ascii="Arial" w:cs="Arial" w:eastAsia="Arial" w:hAnsi="Arial"/>
          <w:sz w:val="12"/>
          <w:szCs w:val="12"/>
          <w:color w:val="auto"/>
        </w:rPr>
        <w:t>(d) The following exhibits are included in this report:</w:t>
      </w:r>
    </w:p>
    <w:p>
      <w:pPr>
        <w:spacing w:after="0" w:line="149" w:lineRule="exact"/>
        <w:rPr>
          <w:sz w:val="20"/>
          <w:szCs w:val="20"/>
          <w:color w:val="auto"/>
        </w:rPr>
      </w:pPr>
    </w:p>
    <w:p>
      <w:pPr>
        <w:ind w:left="840"/>
        <w:spacing w:after="0"/>
        <w:rPr>
          <w:sz w:val="20"/>
          <w:szCs w:val="20"/>
          <w:color w:val="auto"/>
        </w:rPr>
      </w:pPr>
      <w:r>
        <w:rPr>
          <w:rFonts w:ascii="Arial" w:cs="Arial" w:eastAsia="Arial" w:hAnsi="Arial"/>
          <w:sz w:val="10"/>
          <w:szCs w:val="10"/>
          <w:color w:val="auto"/>
        </w:rPr>
        <w:t>Exhibit</w:t>
      </w:r>
    </w:p>
    <w:p>
      <w:pPr>
        <w:ind w:left="900"/>
        <w:spacing w:after="0" w:line="237" w:lineRule="auto"/>
        <w:tabs>
          <w:tab w:leader="none" w:pos="1460" w:val="left"/>
        </w:tabs>
        <w:rPr>
          <w:sz w:val="20"/>
          <w:szCs w:val="20"/>
          <w:color w:val="auto"/>
        </w:rPr>
      </w:pPr>
      <w:r>
        <w:rPr>
          <w:rFonts w:ascii="Arial" w:cs="Arial" w:eastAsia="Arial" w:hAnsi="Arial"/>
          <w:sz w:val="10"/>
          <w:szCs w:val="10"/>
          <w:color w:val="auto"/>
        </w:rPr>
        <w:t>No.</w:t>
      </w:r>
      <w:r>
        <w:rPr>
          <w:sz w:val="20"/>
          <w:szCs w:val="20"/>
          <w:color w:val="auto"/>
        </w:rPr>
        <w:tab/>
      </w:r>
      <w:r>
        <w:rPr>
          <w:rFonts w:ascii="Arial" w:cs="Arial" w:eastAsia="Arial" w:hAnsi="Arial"/>
          <w:sz w:val="10"/>
          <w:szCs w:val="10"/>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0</wp:posOffset>
            </wp:positionV>
            <wp:extent cx="183515"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3515" cy="5715"/>
                    </a:xfrm>
                    <a:prstGeom prst="rect">
                      <a:avLst/>
                    </a:prstGeom>
                    <a:noFill/>
                  </pic:spPr>
                </pic:pic>
              </a:graphicData>
            </a:graphic>
          </wp:anchor>
        </w:drawing>
      </w:r>
    </w:p>
    <w:p>
      <w:pPr>
        <w:spacing w:after="0" w:line="43" w:lineRule="exact"/>
        <w:rPr>
          <w:sz w:val="20"/>
          <w:szCs w:val="20"/>
          <w:color w:val="auto"/>
        </w:rPr>
      </w:pPr>
    </w:p>
    <w:p>
      <w:pPr>
        <w:ind w:left="840"/>
        <w:spacing w:after="0"/>
        <w:tabs>
          <w:tab w:leader="none" w:pos="1460" w:val="left"/>
        </w:tabs>
        <w:rPr>
          <w:rFonts w:ascii="Arial" w:cs="Arial" w:eastAsia="Arial" w:hAnsi="Arial"/>
          <w:sz w:val="10"/>
          <w:szCs w:val="10"/>
          <w:u w:val="single" w:color="auto"/>
          <w:color w:val="0000EE"/>
        </w:rPr>
      </w:pPr>
      <w:r>
        <w:rPr>
          <w:rFonts w:ascii="Arial" w:cs="Arial" w:eastAsia="Arial" w:hAnsi="Arial"/>
          <w:sz w:val="12"/>
          <w:szCs w:val="12"/>
          <w:color w:val="auto"/>
        </w:rPr>
        <w:t>99.1</w:t>
      </w:r>
      <w:r>
        <w:rPr>
          <w:sz w:val="20"/>
          <w:szCs w:val="20"/>
          <w:color w:val="auto"/>
        </w:rPr>
        <w:tab/>
      </w:r>
      <w:hyperlink w:anchor="page4">
        <w:r>
          <w:rPr>
            <w:rFonts w:ascii="Arial" w:cs="Arial" w:eastAsia="Arial" w:hAnsi="Arial"/>
            <w:sz w:val="10"/>
            <w:szCs w:val="10"/>
            <w:u w:val="single" w:color="auto"/>
            <w:color w:val="0000EE"/>
          </w:rPr>
          <w:t>Form of Presentation as of January 7, 2019.</w:t>
        </w:r>
      </w:hyperlink>
    </w:p>
    <w:p>
      <w:pPr>
        <w:sectPr>
          <w:pgSz w:w="11900" w:h="16838" w:orient="portrait"/>
          <w:cols w:equalWidth="0" w:num="1">
            <w:col w:w="9019"/>
          </w:cols>
          <w:pgMar w:left="1440" w:top="226" w:right="1440"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2"/>
          <w:szCs w:val="12"/>
          <w:b w:val="1"/>
          <w:bCs w:val="1"/>
          <w:u w:val="single" w:color="auto"/>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29170" cy="29845"/>
                    </a:xfrm>
                    <a:prstGeom prst="rect">
                      <a:avLst/>
                    </a:prstGeom>
                    <a:noFill/>
                  </pic:spPr>
                </pic:pic>
              </a:graphicData>
            </a:graphic>
          </wp:anchor>
        </w:drawing>
        <w:t>SIGNATURE</w:t>
      </w:r>
    </w:p>
    <w:p>
      <w:pPr>
        <w:spacing w:after="0" w:line="155" w:lineRule="exact"/>
        <w:rPr>
          <w:sz w:val="20"/>
          <w:szCs w:val="20"/>
          <w:color w:val="auto"/>
        </w:rPr>
      </w:pPr>
    </w:p>
    <w:p>
      <w:pPr>
        <w:ind w:left="840" w:right="1039"/>
        <w:spacing w:after="0" w:line="277" w:lineRule="auto"/>
        <w:rPr>
          <w:sz w:val="20"/>
          <w:szCs w:val="20"/>
          <w:color w:val="auto"/>
        </w:rPr>
      </w:pPr>
      <w:r>
        <w:rPr>
          <w:rFonts w:ascii="Arial" w:cs="Arial" w:eastAsia="Arial" w:hAnsi="Arial"/>
          <w:sz w:val="12"/>
          <w:szCs w:val="12"/>
          <w:color w:val="auto"/>
        </w:rPr>
        <w:t>Pursuant to the requirements of Section 13 or 15(d) of the Securities Exchange Act of 1934, the Registrant has caused this Report to be signed on its behalf by the undersigned thereunto duly authorized.</w:t>
      </w:r>
    </w:p>
    <w:p>
      <w:pPr>
        <w:spacing w:after="0" w:line="129" w:lineRule="exact"/>
        <w:rPr>
          <w:sz w:val="20"/>
          <w:szCs w:val="20"/>
          <w:color w:val="auto"/>
        </w:rPr>
      </w:pPr>
    </w:p>
    <w:tbl>
      <w:tblPr>
        <w:tblLayout w:type="fixed"/>
        <w:tblInd w:w="840" w:type="dxa"/>
        <w:tblCellMar>
          <w:top w:w="0" w:type="dxa"/>
          <w:left w:w="0" w:type="dxa"/>
          <w:bottom w:w="0" w:type="dxa"/>
          <w:right w:w="0" w:type="dxa"/>
        </w:tblCellMar>
      </w:tblPr>
      <w:tr>
        <w:trPr>
          <w:trHeight w:val="157"/>
        </w:trPr>
        <w:tc>
          <w:tcPr>
            <w:tcW w:w="2380" w:type="dxa"/>
            <w:vAlign w:val="bottom"/>
          </w:tcPr>
          <w:p>
            <w:pPr>
              <w:spacing w:after="0"/>
              <w:rPr>
                <w:sz w:val="13"/>
                <w:szCs w:val="13"/>
                <w:color w:val="auto"/>
              </w:rPr>
            </w:pPr>
          </w:p>
        </w:tc>
        <w:tc>
          <w:tcPr>
            <w:tcW w:w="4980" w:type="dxa"/>
            <w:vAlign w:val="bottom"/>
            <w:gridSpan w:val="2"/>
          </w:tcPr>
          <w:p>
            <w:pPr>
              <w:ind w:left="1340"/>
              <w:spacing w:after="0"/>
              <w:rPr>
                <w:sz w:val="20"/>
                <w:szCs w:val="20"/>
                <w:color w:val="auto"/>
              </w:rPr>
            </w:pPr>
            <w:r>
              <w:rPr>
                <w:rFonts w:ascii="Arial" w:cs="Arial" w:eastAsia="Arial" w:hAnsi="Arial"/>
                <w:sz w:val="12"/>
                <w:szCs w:val="12"/>
                <w:b w:val="1"/>
                <w:bCs w:val="1"/>
                <w:color w:val="auto"/>
              </w:rPr>
              <w:t>Intellia Therapeutics, Inc.</w:t>
            </w:r>
          </w:p>
        </w:tc>
      </w:tr>
      <w:tr>
        <w:trPr>
          <w:trHeight w:val="289"/>
        </w:trPr>
        <w:tc>
          <w:tcPr>
            <w:tcW w:w="2380" w:type="dxa"/>
            <w:vAlign w:val="bottom"/>
          </w:tcPr>
          <w:p>
            <w:pPr>
              <w:spacing w:after="0"/>
              <w:rPr>
                <w:sz w:val="20"/>
                <w:szCs w:val="20"/>
                <w:color w:val="auto"/>
              </w:rPr>
            </w:pPr>
            <w:r>
              <w:rPr>
                <w:rFonts w:ascii="Arial" w:cs="Arial" w:eastAsia="Arial" w:hAnsi="Arial"/>
                <w:sz w:val="12"/>
                <w:szCs w:val="12"/>
                <w:color w:val="auto"/>
              </w:rPr>
              <w:t>Date: January 7, 2019</w:t>
            </w:r>
          </w:p>
        </w:tc>
        <w:tc>
          <w:tcPr>
            <w:tcW w:w="1740" w:type="dxa"/>
            <w:vAlign w:val="bottom"/>
          </w:tcPr>
          <w:p>
            <w:pPr>
              <w:ind w:left="1340"/>
              <w:spacing w:after="0"/>
              <w:rPr>
                <w:sz w:val="20"/>
                <w:szCs w:val="20"/>
                <w:color w:val="auto"/>
              </w:rPr>
            </w:pPr>
            <w:r>
              <w:rPr>
                <w:rFonts w:ascii="Arial" w:cs="Arial" w:eastAsia="Arial" w:hAnsi="Arial"/>
                <w:sz w:val="12"/>
                <w:szCs w:val="12"/>
                <w:color w:val="auto"/>
              </w:rPr>
              <w:t>By:</w:t>
            </w:r>
          </w:p>
        </w:tc>
        <w:tc>
          <w:tcPr>
            <w:tcW w:w="32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John M. Leonard</w:t>
            </w:r>
          </w:p>
        </w:tc>
      </w:tr>
      <w:tr>
        <w:trPr>
          <w:trHeight w:val="134"/>
        </w:trPr>
        <w:tc>
          <w:tcPr>
            <w:tcW w:w="2380" w:type="dxa"/>
            <w:vAlign w:val="bottom"/>
          </w:tcPr>
          <w:p>
            <w:pPr>
              <w:spacing w:after="0"/>
              <w:rPr>
                <w:sz w:val="11"/>
                <w:szCs w:val="11"/>
                <w:color w:val="auto"/>
              </w:rPr>
            </w:pPr>
          </w:p>
        </w:tc>
        <w:tc>
          <w:tcPr>
            <w:tcW w:w="1740" w:type="dxa"/>
            <w:vAlign w:val="bottom"/>
          </w:tcPr>
          <w:p>
            <w:pPr>
              <w:ind w:left="1340"/>
              <w:spacing w:after="0" w:line="134" w:lineRule="exact"/>
              <w:rPr>
                <w:sz w:val="20"/>
                <w:szCs w:val="20"/>
                <w:color w:val="auto"/>
              </w:rPr>
            </w:pPr>
            <w:r>
              <w:rPr>
                <w:rFonts w:ascii="Arial" w:cs="Arial" w:eastAsia="Arial" w:hAnsi="Arial"/>
                <w:sz w:val="12"/>
                <w:szCs w:val="12"/>
                <w:color w:val="auto"/>
              </w:rPr>
              <w:t>Name:</w:t>
            </w:r>
          </w:p>
        </w:tc>
        <w:tc>
          <w:tcPr>
            <w:tcW w:w="3240" w:type="dxa"/>
            <w:vAlign w:val="bottom"/>
          </w:tcPr>
          <w:p>
            <w:pPr>
              <w:spacing w:after="0" w:line="134" w:lineRule="exact"/>
              <w:rPr>
                <w:sz w:val="20"/>
                <w:szCs w:val="20"/>
                <w:color w:val="auto"/>
              </w:rPr>
            </w:pPr>
            <w:r>
              <w:rPr>
                <w:rFonts w:ascii="Arial" w:cs="Arial" w:eastAsia="Arial" w:hAnsi="Arial"/>
                <w:sz w:val="12"/>
                <w:szCs w:val="12"/>
                <w:color w:val="auto"/>
              </w:rPr>
              <w:t>John M. Leonard</w:t>
            </w:r>
          </w:p>
        </w:tc>
      </w:tr>
      <w:tr>
        <w:trPr>
          <w:trHeight w:val="153"/>
        </w:trPr>
        <w:tc>
          <w:tcPr>
            <w:tcW w:w="2380" w:type="dxa"/>
            <w:vAlign w:val="bottom"/>
          </w:tcPr>
          <w:p>
            <w:pPr>
              <w:spacing w:after="0"/>
              <w:rPr>
                <w:sz w:val="13"/>
                <w:szCs w:val="13"/>
                <w:color w:val="auto"/>
              </w:rPr>
            </w:pPr>
          </w:p>
        </w:tc>
        <w:tc>
          <w:tcPr>
            <w:tcW w:w="1740" w:type="dxa"/>
            <w:vAlign w:val="bottom"/>
          </w:tcPr>
          <w:p>
            <w:pPr>
              <w:ind w:left="1340"/>
              <w:spacing w:after="0"/>
              <w:rPr>
                <w:sz w:val="20"/>
                <w:szCs w:val="20"/>
                <w:color w:val="auto"/>
              </w:rPr>
            </w:pPr>
            <w:r>
              <w:rPr>
                <w:rFonts w:ascii="Arial" w:cs="Arial" w:eastAsia="Arial" w:hAnsi="Arial"/>
                <w:sz w:val="12"/>
                <w:szCs w:val="12"/>
                <w:color w:val="auto"/>
              </w:rPr>
              <w:t>Title:</w:t>
            </w:r>
          </w:p>
        </w:tc>
        <w:tc>
          <w:tcPr>
            <w:tcW w:w="3240" w:type="dxa"/>
            <w:vAlign w:val="bottom"/>
          </w:tcPr>
          <w:p>
            <w:pPr>
              <w:spacing w:after="0"/>
              <w:rPr>
                <w:sz w:val="20"/>
                <w:szCs w:val="20"/>
                <w:color w:val="auto"/>
              </w:rPr>
            </w:pPr>
            <w:r>
              <w:rPr>
                <w:rFonts w:ascii="Arial" w:cs="Arial" w:eastAsia="Arial" w:hAnsi="Arial"/>
                <w:sz w:val="12"/>
                <w:szCs w:val="12"/>
                <w:color w:val="auto"/>
              </w:rPr>
              <w:t>Chief Executive Officer and President</w:t>
            </w:r>
          </w:p>
        </w:tc>
      </w:tr>
    </w:tbl>
    <w:p>
      <w:pPr>
        <w:sectPr>
          <w:pgSz w:w="11900" w:h="16838" w:orient="portrait"/>
          <w:cols w:equalWidth="0" w:num="1">
            <w:col w:w="9019"/>
          </w:cols>
          <w:pgMar w:left="1440" w:top="226" w:right="1440"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88900</wp:posOffset>
            </wp:positionV>
            <wp:extent cx="7332980" cy="41275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332980" cy="41275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2019-12-28T17:11:20Z</dcterms:created>
  <dcterms:modified xsi:type="dcterms:W3CDTF">2019-12-28T17:11:20Z</dcterms:modified>
</cp:coreProperties>
</file>